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</w:rPr>
        <w:id w:val="35739962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175CA7" w:rsidRPr="00766E97" w:rsidRDefault="00175CA7" w:rsidP="00175CA7">
          <w:pPr>
            <w:rPr>
              <w:rFonts w:ascii="Arial" w:hAnsi="Arial"/>
            </w:rPr>
          </w:pPr>
          <w:r w:rsidRPr="00766E97">
            <w:rPr>
              <w:rFonts w:ascii="Arial" w:hAnsi="Arial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0D29269D" wp14:editId="7EBB1B8A">
                    <wp:simplePos x="0" y="0"/>
                    <wp:positionH relativeFrom="page">
                      <wp:posOffset>1080135</wp:posOffset>
                    </wp:positionH>
                    <wp:positionV relativeFrom="page">
                      <wp:posOffset>4214495</wp:posOffset>
                    </wp:positionV>
                    <wp:extent cx="5541010" cy="1762760"/>
                    <wp:effectExtent l="0" t="0" r="0" b="0"/>
                    <wp:wrapNone/>
                    <wp:docPr id="54" name="AutoShap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1010" cy="17627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sz w:val="36"/>
                                    <w:szCs w:val="44"/>
                                  </w:rPr>
                                  <w:alias w:val="Título"/>
                                  <w:id w:val="31330534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175CA7" w:rsidRPr="00FE5EFD" w:rsidRDefault="00175CA7" w:rsidP="00175CA7">
                                    <w:pPr>
                                      <w:spacing w:before="60" w:after="60"/>
                                      <w:rPr>
                                        <w:rFonts w:ascii="Arial" w:eastAsiaTheme="majorEastAsia" w:hAnsi="Arial" w:cstheme="majorBidi"/>
                                        <w:color w:val="1F497D" w:themeColor="text2"/>
                                        <w:sz w:val="36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" w:eastAsiaTheme="majorEastAsia" w:hAnsi="Arial" w:cstheme="majorBidi"/>
                                        <w:sz w:val="36"/>
                                        <w:szCs w:val="4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/>
                                    <w:noProof/>
                                    <w:sz w:val="28"/>
                                    <w:szCs w:val="32"/>
                                  </w:rPr>
                                  <w:alias w:val="Subtítulo"/>
                                  <w:tag w:val="Subtítulo"/>
                                  <w:id w:val="1066300952"/>
                                  <w:text/>
                                </w:sdtPr>
                                <w:sdtContent>
                                  <w:p w:rsidR="00175CA7" w:rsidRPr="00FE5EFD" w:rsidRDefault="00175CA7" w:rsidP="00175CA7">
                                    <w:pPr>
                                      <w:pBdr>
                                        <w:bottom w:val="dotted" w:sz="4" w:space="6" w:color="1F497D" w:themeColor="text2"/>
                                      </w:pBdr>
                                      <w:spacing w:after="60"/>
                                      <w:rPr>
                                        <w:rFonts w:ascii="Arial" w:hAnsi="Arial"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FE5EFD">
                                      <w:rPr>
                                        <w:rFonts w:ascii="Arial" w:hAnsi="Arial"/>
                                        <w:noProof/>
                                        <w:sz w:val="28"/>
                                        <w:szCs w:val="32"/>
                                      </w:rPr>
                                      <w:t>Informe de evaluación</w:t>
                                    </w:r>
                                    <w:r>
                                      <w:rPr>
                                        <w:rFonts w:ascii="Arial" w:hAnsi="Arial"/>
                                        <w:noProof/>
                                        <w:sz w:val="28"/>
                                        <w:szCs w:val="32"/>
                                      </w:rPr>
                                      <w:t xml:space="preserve"> del Plan de Estudios</w:t>
                                    </w:r>
                                  </w:p>
                                </w:sdtContent>
                              </w:sdt>
                              <w:p w:rsidR="00175CA7" w:rsidRPr="00FE5EFD" w:rsidRDefault="00175CA7" w:rsidP="00175CA7">
                                <w:pPr>
                                  <w:spacing w:after="60"/>
                                  <w:rPr>
                                    <w:rFonts w:ascii="Arial" w:hAnsi="Arial"/>
                                    <w:noProof/>
                                    <w:sz w:val="22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noProof/>
                                      <w:szCs w:val="28"/>
                                    </w:rPr>
                                    <w:alias w:val="Autor"/>
                                    <w:id w:val="-84223687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noProof/>
                                        <w:szCs w:val="28"/>
                                        <w:lang w:val="es-MX"/>
                                      </w:rPr>
                                      <w:t xml:space="preserve">Estamento: 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/>
                                    <w:noProof/>
                                    <w:szCs w:val="28"/>
                                  </w:rPr>
                                  <w:t>Coordinadores de Servicio Social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0" o:spid="_x0000_s1026" style="position:absolute;margin-left:85.05pt;margin-top:331.85pt;width:436.3pt;height:13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" o:allowincell="f" fillcolor="#f2f2f2 [3052]" stroked="f">
                    <v:textbox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sz w:val="36"/>
                              <w:szCs w:val="44"/>
                            </w:rPr>
                            <w:alias w:val="Título"/>
                            <w:id w:val="31330534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75CA7" w:rsidRPr="00FE5EFD" w:rsidRDefault="00175CA7" w:rsidP="00175CA7">
                              <w:pPr>
                                <w:spacing w:before="60" w:after="60"/>
                                <w:rPr>
                                  <w:rFonts w:ascii="Arial" w:eastAsiaTheme="majorEastAsia" w:hAnsi="Arial" w:cstheme="majorBidi"/>
                                  <w:color w:val="1F497D" w:themeColor="text2"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sz w:val="36"/>
                                  <w:szCs w:val="4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/>
                              <w:noProof/>
                              <w:sz w:val="28"/>
                              <w:szCs w:val="32"/>
                            </w:rPr>
                            <w:alias w:val="Subtítulo"/>
                            <w:tag w:val="Subtítulo"/>
                            <w:id w:val="1066300952"/>
                            <w:text/>
                          </w:sdtPr>
                          <w:sdtContent>
                            <w:p w:rsidR="00175CA7" w:rsidRPr="00FE5EFD" w:rsidRDefault="00175CA7" w:rsidP="00175CA7">
                              <w:pPr>
                                <w:pBdr>
                                  <w:bottom w:val="dotted" w:sz="4" w:space="6" w:color="1F497D" w:themeColor="text2"/>
                                </w:pBdr>
                                <w:spacing w:after="60"/>
                                <w:rPr>
                                  <w:rFonts w:ascii="Arial" w:hAnsi="Arial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FE5EFD">
                                <w:rPr>
                                  <w:rFonts w:ascii="Arial" w:hAnsi="Arial"/>
                                  <w:noProof/>
                                  <w:sz w:val="28"/>
                                  <w:szCs w:val="32"/>
                                </w:rPr>
                                <w:t>Informe de evaluación</w: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28"/>
                                  <w:szCs w:val="32"/>
                                </w:rPr>
                                <w:t xml:space="preserve"> del Plan de Estudios</w:t>
                              </w:r>
                            </w:p>
                          </w:sdtContent>
                        </w:sdt>
                        <w:p w:rsidR="00175CA7" w:rsidRPr="00FE5EFD" w:rsidRDefault="00175CA7" w:rsidP="00175CA7">
                          <w:pPr>
                            <w:spacing w:after="60"/>
                            <w:rPr>
                              <w:rFonts w:ascii="Arial" w:hAnsi="Arial"/>
                              <w:noProof/>
                              <w:sz w:val="22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/>
                                <w:noProof/>
                                <w:szCs w:val="28"/>
                              </w:rPr>
                              <w:alias w:val="Autor"/>
                              <w:id w:val="-84223687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noProof/>
                                  <w:szCs w:val="28"/>
                                  <w:lang w:val="es-MX"/>
                                </w:rPr>
                                <w:t xml:space="preserve">Estamento: </w:t>
                              </w:r>
                            </w:sdtContent>
                          </w:sdt>
                          <w:r>
                            <w:rPr>
                              <w:rFonts w:ascii="Arial" w:hAnsi="Arial"/>
                              <w:noProof/>
                              <w:szCs w:val="28"/>
                            </w:rPr>
                            <w:t>Coordinadores de Servicio Social</w:t>
                          </w:r>
                        </w:p>
                      </w:txbxContent>
                    </v:textbox>
                    <w10:wrap anchorx="page" anchory="page"/>
                    <w10:anchorlock/>
                  </v:roundrect>
                </w:pict>
              </mc:Fallback>
            </mc:AlternateContent>
          </w:r>
          <w:r w:rsidRPr="00766E97">
            <w:rPr>
              <w:rFonts w:ascii="Arial" w:hAnsi="Arial"/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0" allowOverlap="1" wp14:anchorId="6B1C7A69" wp14:editId="3E9102F5">
                    <wp:simplePos x="0" y="0"/>
                    <wp:positionH relativeFrom="page">
                      <wp:posOffset>394335</wp:posOffset>
                    </wp:positionH>
                    <wp:positionV relativeFrom="page">
                      <wp:posOffset>328295</wp:posOffset>
                    </wp:positionV>
                    <wp:extent cx="6830060" cy="9486900"/>
                    <wp:effectExtent l="0" t="0" r="27940" b="38100"/>
                    <wp:wrapNone/>
                    <wp:docPr id="24" name="Group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30060" cy="9486900"/>
                              <a:chOff x="0" y="0"/>
                              <a:chExt cx="6830568" cy="9957816"/>
                            </a:xfrm>
                            <a:noFill/>
                          </wpg:grpSpPr>
                          <wps:wsp>
                            <wps:cNvPr id="25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568" cy="9957816"/>
                              </a:xfrm>
                              <a:prstGeom prst="roundRect">
                                <a:avLst>
                                  <a:gd name="adj" fmla="val 1921"/>
                                </a:avLst>
                              </a:prstGeom>
                              <a:grp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20" y="4077491"/>
                                <a:ext cx="276328" cy="1764067"/>
                              </a:xfrm>
                              <a:prstGeom prst="roundRect">
                                <a:avLst>
                                  <a:gd name="adj" fmla="val 21741"/>
                                </a:avLst>
                              </a:prstGeom>
                              <a:grpFill/>
                              <a:ln w="9525" cmpd="sng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31.05pt;margin-top:25.85pt;width:537.8pt;height:747pt;z-index:-251657216;mso-position-horizontal-relative:page;mso-position-vertical-relative:page;mso-width-relative:margin;mso-height-relative:margin" coordsize="6830568,99578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" o:allowincell="f">
                    <v:roundrect id="AutoShape 57" o:spid="_x0000_s1027" style="position:absolute;width:6830568;height:9957816;visibility:visible;mso-wrap-style:square;v-text-anchor:top" arcsize="1259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djRwwAA&#10;ANsAAAAPAAAAZHJzL2Rvd25yZXYueG1sRI9Ba8JAFITvQv/D8oTe6sZAi42uUixCS0Vo1Psj+9zE&#10;Zt/G7DaJ/74rFDwOM/MNs1gNthYdtb5yrGA6SUAQF05XbBQc9punGQgfkDXWjknBlTyslg+jBWba&#10;9fxNXR6MiBD2GSooQ2gyKX1RkkU/cQ1x9E6utRiibI3ULfYRbmuZJsmLtFhxXCixoXVJxU/+axW8&#10;Hq/pZ/K1w+2566WRBtfv7qLU43h4m4MINIR7+L/9oRWkz3D7En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YdjRwwAAANsAAAAPAAAAAAAAAAAAAAAAAJcCAABkcnMvZG93&#10;bnJldi54bWxQSwUGAAAAAAQABAD1AAAAhwMAAAAA&#10;" filled="f" strokecolor="#d8d8d8 [2732]" strokeweight="2pt"/>
                    <v:roundrect id="AutoShape 59" o:spid="_x0000_s1028" style="position:absolute;left:600120;top:4077491;width:276328;height:1764067;visibility:visible;mso-wrap-style:square;v-text-anchor:top" arcsize="14248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ue7wAAA&#10;ANsAAAAPAAAAZHJzL2Rvd25yZXYueG1sRI/NCsIwEITvgu8QVvCmqYKi1SgqiIIe/HuApVnbYrOp&#10;TdT69kYQPA4z8w0zndemEE+qXG5ZQa8bgSBOrM45VXA5rzsjEM4jaywsk4I3OZjPmo0pxtq++EjP&#10;k09FgLCLUUHmfRlL6ZKMDLquLYmDd7WVQR9klUpd4SvATSH7UTSUBnMOCxmWtMoouZ0eRoHF3WW/&#10;Xw3G58PW55tFWR/vvaVS7Va9mIDwVPt/+NfeagX9IXy/hB8gZ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Pue7wAAAANsAAAAPAAAAAAAAAAAAAAAAAJcCAABkcnMvZG93bnJl&#10;di54bWxQSwUGAAAAAAQABAD1AAAAhAMAAAAA&#10;" filled="f" strokecolor="#d8d8d8 [2732]"/>
                    <w10:wrap anchorx="page" anchory="page"/>
                    <w10:anchorlock/>
                  </v:group>
                </w:pict>
              </mc:Fallback>
            </mc:AlternateContent>
          </w:r>
        </w:p>
        <w:p w:rsidR="00175CA7" w:rsidRPr="00766E97" w:rsidRDefault="00175CA7" w:rsidP="00175CA7">
          <w:pPr>
            <w:jc w:val="center"/>
            <w:rPr>
              <w:rFonts w:ascii="Arial" w:hAnsi="Arial"/>
              <w:b/>
            </w:rPr>
          </w:pPr>
          <w:r w:rsidRPr="00766E97">
            <w:rPr>
              <w:rFonts w:ascii="Arial" w:hAnsi="Arial" w:cs="Helvetica"/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5C2B51BC" wp14:editId="04EB863F">
                <wp:simplePos x="0" y="0"/>
                <wp:positionH relativeFrom="column">
                  <wp:posOffset>4572000</wp:posOffset>
                </wp:positionH>
                <wp:positionV relativeFrom="paragraph">
                  <wp:posOffset>7365365</wp:posOffset>
                </wp:positionV>
                <wp:extent cx="1319530" cy="1143000"/>
                <wp:effectExtent l="0" t="0" r="1270" b="0"/>
                <wp:wrapThrough wrapText="bothSides">
                  <wp:wrapPolygon edited="0">
                    <wp:start x="0" y="0"/>
                    <wp:lineTo x="0" y="21120"/>
                    <wp:lineTo x="21205" y="21120"/>
                    <wp:lineTo x="21205" y="0"/>
                    <wp:lineTo x="0" y="0"/>
                  </wp:wrapPolygon>
                </wp:wrapThrough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6E97">
            <w:rPr>
              <w:rFonts w:ascii="Arial" w:hAnsi="Arial"/>
              <w:b/>
            </w:rPr>
            <w:br w:type="page"/>
          </w:r>
        </w:p>
      </w:sdtContent>
    </w:sdt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  <w:b/>
        </w:rPr>
        <w:lastRenderedPageBreak/>
        <w:t>Estamento: Coordinadores de Servicio Social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El 67% de los coordinadores de servicio social son mujeres, tienen una edad promedio de 50 años, ver el gráfico 11.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>Gráfico 11: Coordinadores de Servicio Social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4FD20578" wp14:editId="4728A190">
            <wp:extent cx="5612130" cy="4032885"/>
            <wp:effectExtent l="0" t="0" r="26670" b="3111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11: el 67% de los coordinadores de servicio social son mujeres el resto es un hombre.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Una coordinadora (33%) tiene grado de doctorado y el 67% maestría. En promedio tienen 20 años dentro de la Universidad, con un mínimo de 9 años y un máximo de 28 años. En promedio tienen 7 años en el cargo de Coordinadores y todos son de planta.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>Gráfico 12: Grado máximo obtenido Coordinadores de servicio social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7CCAEA66" wp14:editId="0F8F4A23">
            <wp:extent cx="5612130" cy="4041140"/>
            <wp:effectExtent l="0" t="0" r="26670" b="2286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>Gráfico 12: Los coordinadores de servicio social tienen maestría (67%) y Doctorado (33%)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El la opinión del 100% de los Coordinadores de Servicio Social se cuentan con estrategias institucionales para el apoyo a los estudiantes en la integración de las Experiencias Educativas, el Servicio Social y Experiencia Recepcional. También afirman que existen estrategias para la vinculación entre las actividades de Servicio Social y la Experiencia Recepcional con las necesidades del contexto local o regional.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MX"/>
        </w:rPr>
      </w:pPr>
      <w:r w:rsidRPr="00766E97">
        <w:rPr>
          <w:rFonts w:ascii="Arial" w:hAnsi="Arial" w:cs="Arial"/>
        </w:rPr>
        <w:t xml:space="preserve">Un 67% opina que estas estrategias son: la </w:t>
      </w:r>
      <w:r w:rsidRPr="00766E97">
        <w:rPr>
          <w:rFonts w:ascii="Arial" w:eastAsia="Times New Roman" w:hAnsi="Arial" w:cs="Arial"/>
          <w:color w:val="000000"/>
          <w:lang w:val="es-MX"/>
        </w:rPr>
        <w:t>valoración de solicitudes de las instituciones receptoras, la consideración principal de espacios en la Facultad y la</w:t>
      </w:r>
      <w:r w:rsidRPr="00766E97">
        <w:rPr>
          <w:rFonts w:ascii="Arial" w:eastAsia="Times New Roman" w:hAnsi="Arial" w:cs="Arial"/>
          <w:color w:val="000000"/>
          <w:lang w:val="es-MX"/>
        </w:rPr>
        <w:br/>
        <w:t xml:space="preserve">congruencia del programa de trabajo y reportes mensuales; un 33% sólo señala la valoración de solicitudes receptoras.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lang w:val="es-MX"/>
        </w:rPr>
      </w:pPr>
      <w:r w:rsidRPr="00766E97">
        <w:rPr>
          <w:rFonts w:ascii="Arial" w:eastAsia="Times New Roman" w:hAnsi="Arial" w:cs="Arial"/>
          <w:color w:val="000000"/>
          <w:lang w:val="es-MX"/>
        </w:rPr>
        <w:t xml:space="preserve">El 100% de los encuestados señalan como estrategia para la vinculación entre las actividades del Servicio Social la Experiencia Recepcional y el entorno social al aceptar instituciones sociales de carácter público. Sólo el 33% realiza supervisiones a los prestadores de servicio social en su lugar correspondiente para revisar que tengan sitio propicio y material para trabajar. 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eastAsia="Times New Roman" w:hAnsi="Arial" w:cs="Arial"/>
          <w:color w:val="000000"/>
          <w:lang w:val="es-MX"/>
        </w:rPr>
        <w:t xml:space="preserve">Gráfico 13: Estrategias para viculación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071BD698" wp14:editId="52042955">
            <wp:extent cx="5612130" cy="4062730"/>
            <wp:effectExtent l="0" t="0" r="26670" b="2667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>Gráfico 13: Los coordinadores de servicio social realizan supervisión a los prestadores del mismo en sus lugares correspondientes en un 33%, como una estrategia para vincular el Servicio con el entorno social. El 100% de preferencia aceptan instituciones sociales de carácter público.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Categoría 5: Proceso de permanencia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Un 33% opina que las estrategias para la integración de las Experiencia Educativas Servicio social y Experiencia Recepcional operan favorablemente y otro 33% creen que no son favorables, el otro 33% restante no contestó. Según su opinión la forma en como se ha dado la integración de Servicio social y Experiencia Recepcional es favorable (67%) y que o son favorables en un 33%. 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>Gráfico 14: Forma en como se ha dado la integración de SS y ER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04B290DA" wp14:editId="516BAF0C">
            <wp:extent cx="5612130" cy="4051935"/>
            <wp:effectExtent l="0" t="0" r="26670" b="3746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14: El 67% de los coordinadores opinó que ha sido favorable la forma en que se ha integrado Servicio Social y Experiencia Recepcional.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</w:rPr>
        <w:t xml:space="preserve">El gráfico 15 muestra que el 100% de los Coordinadores afirman que la estrategia institucional o docente que se lleva a cabo en la integración de las Experiencias Educativas, Servicio Social y Experiencia Recepcional ha sido los lineamientos de esta última. 67% afirma que es el programa de seguimiento de servicio social y la articulación de proyectos de investigación y vinculación. 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>Gráfico 15: Estrategias institucionales para la integración de EE SS y ER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2B272D83" wp14:editId="1909BF60">
            <wp:extent cx="5612130" cy="4060190"/>
            <wp:effectExtent l="0" t="0" r="26670" b="2921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>Gráfico 15: Como estrategia de integración de EE, SS y ER se señala a los lineamientos de ER en un 100% de los casos, y a la articulación de los proyectos de investigación y vinculación y al programa de seguimiento de SS en un 67%.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</w:rPr>
        <w:t>Para fomentar que se relacionen la vinculación entre actividades del Servicio Social y la Experiencia Recepcional con su contexto local o  regional el 33% de los Coordinadores conocen las necesidades de los potenciales usuarios o beneficiarios de los servicios que ofrece el profesional de psicología. El 67% reconoce que es a través de fomentar que el servicio social y las investigaciones de Experiencia Recepcional atiendan estas necesidades así como a través de realizar reuniones antes de cada periodo escolar para dar a conocer los proyectos de investigación y vinculación.</w:t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Gráfico 16: Forma en la que se relacional la vinculación entre SS y ER con el contexto local o regional </w:t>
      </w:r>
    </w:p>
    <w:p w:rsidR="00175CA7" w:rsidRPr="00766E97" w:rsidRDefault="00175CA7" w:rsidP="00175CA7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25FF95FA" wp14:editId="592951F7">
            <wp:extent cx="5612130" cy="4060190"/>
            <wp:effectExtent l="0" t="0" r="26670" b="292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5CA7" w:rsidRPr="00766E97" w:rsidRDefault="00175CA7" w:rsidP="00175CA7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16: 67% de los Coordinadores emplean como estrategias de vinculación entre SS y ER con el contexto local o regional al fomentar que el servicio social y las investigaciones de ER atiendan necesidades así como también el realizar reuniones para dar a conocer proyectos de investigación y vinculación. </w:t>
      </w:r>
    </w:p>
    <w:p w:rsidR="00175CA7" w:rsidRPr="00766E97" w:rsidRDefault="00175CA7" w:rsidP="00175CA7">
      <w:pPr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br w:type="page"/>
      </w:r>
    </w:p>
    <w:p w:rsidR="00193DE1" w:rsidRDefault="00193DE1"/>
    <w:sectPr w:rsidR="00193DE1" w:rsidSect="00193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A7"/>
    <w:rsid w:val="00175CA7"/>
    <w:rsid w:val="001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C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C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5C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6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'Coordinador de Servicio Social '!$A$2:$T$2</c:f>
              <c:strCache>
                <c:ptCount val="1"/>
                <c:pt idx="0">
                  <c:v>Coordinador de Servicio Social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'Coordinador de Servicio Social '!$B$12:$B$13</c:f>
              <c:strCache>
                <c:ptCount val="2"/>
                <c:pt idx="0">
                  <c:v>Mujer</c:v>
                </c:pt>
                <c:pt idx="1">
                  <c:v>Hombre</c:v>
                </c:pt>
              </c:strCache>
            </c:strRef>
          </c:cat>
          <c:val>
            <c:numRef>
              <c:f>'Coordinador de Servicio Social '!$C$12:$C$13</c:f>
              <c:numCache>
                <c:formatCode>General</c:formatCode>
                <c:ptCount val="2"/>
                <c:pt idx="0">
                  <c:v>2.0</c:v>
                </c:pt>
                <c:pt idx="1">
                  <c:v>1.0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'Coordinador de Servicio Social '!$F$11</c:f>
              <c:strCache>
                <c:ptCount val="1"/>
                <c:pt idx="0">
                  <c:v>Grado máximo obtenido de los Coordinadores de Servicio Social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'Coordinador de Servicio Social '!$F$12:$F$13</c:f>
              <c:strCache>
                <c:ptCount val="2"/>
                <c:pt idx="0">
                  <c:v>Doctorado</c:v>
                </c:pt>
                <c:pt idx="1">
                  <c:v>Maestría</c:v>
                </c:pt>
              </c:strCache>
            </c:strRef>
          </c:cat>
          <c:val>
            <c:numRef>
              <c:f>'Coordinador de Servicio Social '!$G$12:$G$13</c:f>
              <c:numCache>
                <c:formatCode>General</c:formatCode>
                <c:ptCount val="2"/>
                <c:pt idx="0">
                  <c:v>1.0</c:v>
                </c:pt>
                <c:pt idx="1">
                  <c:v>2.0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'Coordinador de Servicio Social '!$O$11</c:f>
              <c:strCache>
                <c:ptCount val="1"/>
                <c:pt idx="0">
                  <c:v>estrategias para la vinculación entre las actividades del SS, la ER y su entorno social.</c:v>
                </c:pt>
              </c:strCache>
            </c:strRef>
          </c:tx>
          <c:invertIfNegative val="0"/>
          <c:cat>
            <c:strRef>
              <c:f>'Coordinador de Servicio Social '!$O$12:$O$13</c:f>
              <c:strCache>
                <c:ptCount val="2"/>
                <c:pt idx="0">
                  <c:v>De preferencia se aceptan instituciones sociales, de carácter público</c:v>
                </c:pt>
                <c:pt idx="1">
                  <c:v>Se realizan supervisiones a los prestadores de SS en los lugares correspondientes, para revisar que tengan el sitio propicio y el material adecuado para trabajar</c:v>
                </c:pt>
              </c:strCache>
            </c:strRef>
          </c:cat>
          <c:val>
            <c:numRef>
              <c:f>'Coordinador de Servicio Social '!$P$12:$P$13</c:f>
              <c:numCache>
                <c:formatCode>General</c:formatCode>
                <c:ptCount val="2"/>
                <c:pt idx="0">
                  <c:v>3.0</c:v>
                </c:pt>
                <c:pt idx="1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990552"/>
        <c:axId val="-2136993976"/>
      </c:barChart>
      <c:catAx>
        <c:axId val="-2136990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6993976"/>
        <c:crossesAt val="0.0"/>
        <c:auto val="1"/>
        <c:lblAlgn val="ctr"/>
        <c:lblOffset val="100"/>
        <c:noMultiLvlLbl val="0"/>
      </c:catAx>
      <c:valAx>
        <c:axId val="-2136993976"/>
        <c:scaling>
          <c:orientation val="minMax"/>
          <c:max val="3.0"/>
          <c:min val="0.0"/>
        </c:scaling>
        <c:delete val="0"/>
        <c:axPos val="l"/>
        <c:majorGridlines/>
        <c:numFmt formatCode="General" sourceLinked="0"/>
        <c:majorTickMark val="in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6990552"/>
        <c:crosses val="autoZero"/>
        <c:crossBetween val="between"/>
        <c:majorUnit val="1.0"/>
        <c:min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'Coordinador de Servicio Social '!$Q$6</c:f>
              <c:strCache>
                <c:ptCount val="1"/>
                <c:pt idx="0">
                  <c:v>Forma en como se ha dado la integración de la EE SS y ER.</c:v>
                </c:pt>
              </c:strCache>
            </c:strRef>
          </c:tx>
          <c:dLbls>
            <c:dLbl>
              <c:idx val="0"/>
              <c:layout>
                <c:manualLayout>
                  <c:x val="-0.304518664047151"/>
                  <c:y val="0.6448979591836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'Coordinador de Servicio Social '!$R$10:$R$13</c:f>
              <c:strCache>
                <c:ptCount val="4"/>
                <c:pt idx="0">
                  <c:v>Muy favorable</c:v>
                </c:pt>
                <c:pt idx="1">
                  <c:v>Favorable</c:v>
                </c:pt>
                <c:pt idx="2">
                  <c:v>Poco favorable</c:v>
                </c:pt>
                <c:pt idx="3">
                  <c:v>Nulo</c:v>
                </c:pt>
              </c:strCache>
            </c:strRef>
          </c:cat>
          <c:val>
            <c:numRef>
              <c:f>'Coordinador de Servicio Social '!$S$10:$S$13</c:f>
              <c:numCache>
                <c:formatCode>0</c:formatCode>
                <c:ptCount val="4"/>
                <c:pt idx="0">
                  <c:v>0.0</c:v>
                </c:pt>
                <c:pt idx="1">
                  <c:v>2.0</c:v>
                </c:pt>
                <c:pt idx="2" formatCode="General">
                  <c:v>1.0</c:v>
                </c:pt>
                <c:pt idx="3" formatCode="General">
                  <c:v>0.0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'Coordinador de Servicio Social '!$T$13</c:f>
              <c:strCache>
                <c:ptCount val="1"/>
                <c:pt idx="0">
                  <c:v>Estrategias institucionales o docentes que se llevan a cabo en la integración de las EE, SS y ER.</c:v>
                </c:pt>
              </c:strCache>
            </c:strRef>
          </c:tx>
          <c:invertIfNegative val="0"/>
          <c:cat>
            <c:strRef>
              <c:f>'Coordinador de Servicio Social '!$T$10:$T$12</c:f>
              <c:strCache>
                <c:ptCount val="3"/>
                <c:pt idx="0">
                  <c:v>Programa de Seguimiento de SS</c:v>
                </c:pt>
                <c:pt idx="1">
                  <c:v>Lineamientos de Experiencia Recepcional</c:v>
                </c:pt>
                <c:pt idx="2">
                  <c:v>Articulación de los proyectos de Investigación y Vinculación</c:v>
                </c:pt>
              </c:strCache>
            </c:strRef>
          </c:cat>
          <c:val>
            <c:numRef>
              <c:f>'Coordinador de Servicio Social '!$U$10:$U$12</c:f>
              <c:numCache>
                <c:formatCode>General</c:formatCode>
                <c:ptCount val="3"/>
                <c:pt idx="0">
                  <c:v>2.0</c:v>
                </c:pt>
                <c:pt idx="1">
                  <c:v>3.0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3657912"/>
        <c:axId val="-2133655096"/>
      </c:barChart>
      <c:catAx>
        <c:axId val="-21336579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3655096"/>
        <c:crosses val="autoZero"/>
        <c:auto val="1"/>
        <c:lblAlgn val="ctr"/>
        <c:lblOffset val="100"/>
        <c:noMultiLvlLbl val="0"/>
      </c:catAx>
      <c:valAx>
        <c:axId val="-2133655096"/>
        <c:scaling>
          <c:orientation val="minMax"/>
          <c:max val="3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3657912"/>
        <c:crosses val="autoZero"/>
        <c:crossBetween val="between"/>
        <c:majorUnit val="1.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'Coordinador de Servicio Social '!$T$38</c:f>
              <c:strCache>
                <c:ptCount val="1"/>
                <c:pt idx="0">
                  <c:v>Forma en la que se relacionan las estrategias para la vinculación entre las actividades del SS y la ER con su contexto local o regional.</c:v>
                </c:pt>
              </c:strCache>
            </c:strRef>
          </c:tx>
          <c:invertIfNegative val="0"/>
          <c:cat>
            <c:strRef>
              <c:f>'Coordinador de Servicio Social '!$T$35:$T$37</c:f>
              <c:strCache>
                <c:ptCount val="3"/>
                <c:pt idx="0">
                  <c:v>Conocer las necesidades de los potenciales usuarios o beneficiarios de los servicios que ofrece el profesional de psicología</c:v>
                </c:pt>
                <c:pt idx="1">
                  <c:v>Fomentar que el SS y las investigaciones de ER atiendan esas necesidades</c:v>
                </c:pt>
                <c:pt idx="2">
                  <c:v>Realizar reuniones antes de cada periodo escolar para dar a conocer los proyectos de investigación  y vinculación</c:v>
                </c:pt>
              </c:strCache>
            </c:strRef>
          </c:cat>
          <c:val>
            <c:numRef>
              <c:f>'Coordinador de Servicio Social '!$U$35:$U$37</c:f>
              <c:numCache>
                <c:formatCode>General</c:formatCode>
                <c:ptCount val="3"/>
                <c:pt idx="0">
                  <c:v>1.0</c:v>
                </c:pt>
                <c:pt idx="1">
                  <c:v>2.0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3629880"/>
        <c:axId val="-2133627064"/>
      </c:barChart>
      <c:catAx>
        <c:axId val="-2133629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3627064"/>
        <c:crosses val="autoZero"/>
        <c:auto val="1"/>
        <c:lblAlgn val="ctr"/>
        <c:lblOffset val="100"/>
        <c:noMultiLvlLbl val="0"/>
      </c:catAx>
      <c:valAx>
        <c:axId val="-2133627064"/>
        <c:scaling>
          <c:orientation val="minMax"/>
          <c:max val="3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3629880"/>
        <c:crosses val="autoZero"/>
        <c:crossBetween val="between"/>
        <c:majorUnit val="1.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3761</Characters>
  <Application>Microsoft Macintosh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Estamento: </dc:creator>
  <cp:keywords/>
  <dc:description/>
  <cp:lastModifiedBy>Lizette Figueroa</cp:lastModifiedBy>
  <cp:revision>1</cp:revision>
  <dcterms:created xsi:type="dcterms:W3CDTF">2014-10-22T06:22:00Z</dcterms:created>
  <dcterms:modified xsi:type="dcterms:W3CDTF">2014-10-22T06:24:00Z</dcterms:modified>
</cp:coreProperties>
</file>