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AB" w:rsidRPr="00766E97" w:rsidRDefault="002D15AB" w:rsidP="002D15AB">
      <w:pPr>
        <w:rPr>
          <w:rFonts w:ascii="Arial" w:hAnsi="Arial"/>
        </w:rPr>
      </w:pPr>
      <w:r w:rsidRPr="00766E97">
        <w:rPr>
          <w:rFonts w:ascii="Arial" w:hAnsi="Arial"/>
          <w:noProof/>
          <w:lang w:val="es-ES"/>
        </w:rPr>
        <mc:AlternateContent>
          <mc:Choice Requires="wps">
            <w:drawing>
              <wp:anchor distT="0" distB="0" distL="114300" distR="114300" simplePos="0" relativeHeight="251660288" behindDoc="1" locked="1" layoutInCell="0" allowOverlap="1" wp14:anchorId="1F9D5FE8" wp14:editId="73750AA4">
                <wp:simplePos x="0" y="0"/>
                <wp:positionH relativeFrom="page">
                  <wp:posOffset>1080135</wp:posOffset>
                </wp:positionH>
                <wp:positionV relativeFrom="page">
                  <wp:posOffset>4175125</wp:posOffset>
                </wp:positionV>
                <wp:extent cx="5541010" cy="1762760"/>
                <wp:effectExtent l="0" t="0" r="0" b="0"/>
                <wp:wrapNone/>
                <wp:docPr id="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1010" cy="1762760"/>
                        </a:xfrm>
                        <a:prstGeom prst="roundRect">
                          <a:avLst>
                            <a:gd name="adj" fmla="val 0"/>
                          </a:avLst>
                        </a:prstGeom>
                        <a:solidFill>
                          <a:schemeClr val="bg1">
                            <a:lumMod val="95000"/>
                          </a:schemeClr>
                        </a:solidFill>
                        <a:ln>
                          <a:noFill/>
                        </a:ln>
                        <a:effectLst/>
                        <a:extLst/>
                      </wps:spPr>
                      <wps:txb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2D15AB" w:rsidRPr="00FE5EFD" w:rsidRDefault="002D15AB" w:rsidP="002D15AB">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2D15AB" w:rsidRPr="00FE5EFD" w:rsidRDefault="002D15AB" w:rsidP="002D15AB">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documento del Plan de Estudios</w:t>
                                </w:r>
                              </w:p>
                            </w:sdtContent>
                          </w:sdt>
                          <w:p w:rsidR="002D15AB" w:rsidRPr="00FE5EFD" w:rsidRDefault="002D15AB" w:rsidP="002D15AB">
                            <w:pPr>
                              <w:spacing w:after="60"/>
                              <w:rPr>
                                <w:rFonts w:ascii="Arial" w:hAnsi="Arial"/>
                                <w:noProof/>
                                <w:sz w:val="22"/>
                                <w:szCs w:val="28"/>
                              </w:rPr>
                            </w:pPr>
                            <w:r>
                              <w:rPr>
                                <w:rFonts w:ascii="Arial" w:hAnsi="Arial"/>
                                <w:noProof/>
                                <w:szCs w:val="28"/>
                              </w:rPr>
                              <w:t xml:space="preserve">Estamento: </w:t>
                            </w:r>
                            <w:r>
                              <w:rPr>
                                <w:rFonts w:ascii="Arial" w:hAnsi="Arial"/>
                                <w:noProof/>
                                <w:sz w:val="22"/>
                                <w:szCs w:val="28"/>
                              </w:rPr>
                              <w:t>Coordinadores de Academia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0" o:spid="_x0000_s1026" style="position:absolute;margin-left:85.05pt;margin-top:328.75pt;width:436.3pt;height:13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" o:allowincell="f" fillcolor="#f2f2f2 [3052]" stroked="f">
                <v:textbox>
                  <w:txbxContent>
                    <w:sdt>
                      <w:sdtPr>
                        <w:rPr>
                          <w:rFonts w:ascii="Arial" w:eastAsiaTheme="majorEastAsia" w:hAnsi="Arial" w:cstheme="majorBidi"/>
                          <w:sz w:val="36"/>
                          <w:szCs w:val="44"/>
                        </w:rPr>
                        <w:alias w:val="Título"/>
                        <w:id w:val="313305347"/>
                        <w:showingPlcHdr/>
                        <w:dataBinding w:prefixMappings="xmlns:ns0='http://purl.org/dc/elements/1.1/' xmlns:ns1='http://schemas.openxmlformats.org/package/2006/metadata/core-properties' " w:xpath="/ns1:coreProperties[1]/ns0:title[1]" w:storeItemID="{6C3C8BC8-F283-45AE-878A-BAB7291924A1}"/>
                        <w:text/>
                      </w:sdtPr>
                      <w:sdtContent>
                        <w:p w:rsidR="002D15AB" w:rsidRPr="00FE5EFD" w:rsidRDefault="002D15AB" w:rsidP="002D15AB">
                          <w:pPr>
                            <w:spacing w:before="60" w:after="60"/>
                            <w:rPr>
                              <w:rFonts w:ascii="Arial" w:eastAsiaTheme="majorEastAsia" w:hAnsi="Arial" w:cstheme="majorBidi"/>
                              <w:color w:val="1F497D" w:themeColor="text2"/>
                              <w:sz w:val="36"/>
                              <w:szCs w:val="44"/>
                            </w:rPr>
                          </w:pPr>
                          <w:r>
                            <w:rPr>
                              <w:rFonts w:ascii="Arial" w:eastAsiaTheme="majorEastAsia" w:hAnsi="Arial" w:cstheme="majorBidi"/>
                              <w:sz w:val="36"/>
                              <w:szCs w:val="44"/>
                            </w:rPr>
                            <w:t xml:space="preserve">     </w:t>
                          </w:r>
                        </w:p>
                      </w:sdtContent>
                    </w:sdt>
                    <w:sdt>
                      <w:sdtPr>
                        <w:rPr>
                          <w:rFonts w:ascii="Arial" w:hAnsi="Arial"/>
                          <w:noProof/>
                          <w:sz w:val="28"/>
                          <w:szCs w:val="32"/>
                        </w:rPr>
                        <w:alias w:val="Subtítulo"/>
                        <w:tag w:val="Subtítulo"/>
                        <w:id w:val="1066300952"/>
                        <w:text/>
                      </w:sdtPr>
                      <w:sdtContent>
                        <w:p w:rsidR="002D15AB" w:rsidRPr="00FE5EFD" w:rsidRDefault="002D15AB" w:rsidP="002D15AB">
                          <w:pPr>
                            <w:pBdr>
                              <w:bottom w:val="dotted" w:sz="4" w:space="6" w:color="1F497D" w:themeColor="text2"/>
                            </w:pBdr>
                            <w:spacing w:after="60"/>
                            <w:rPr>
                              <w:rFonts w:ascii="Arial" w:hAnsi="Arial"/>
                              <w:noProof/>
                              <w:sz w:val="32"/>
                              <w:szCs w:val="32"/>
                            </w:rPr>
                          </w:pPr>
                          <w:r w:rsidRPr="00FE5EFD">
                            <w:rPr>
                              <w:rFonts w:ascii="Arial" w:hAnsi="Arial"/>
                              <w:noProof/>
                              <w:sz w:val="28"/>
                              <w:szCs w:val="32"/>
                            </w:rPr>
                            <w:t>Informe de evaluación</w:t>
                          </w:r>
                          <w:r>
                            <w:rPr>
                              <w:rFonts w:ascii="Arial" w:hAnsi="Arial"/>
                              <w:noProof/>
                              <w:sz w:val="28"/>
                              <w:szCs w:val="32"/>
                            </w:rPr>
                            <w:t xml:space="preserve"> del documento del Plan de Estudios</w:t>
                          </w:r>
                        </w:p>
                      </w:sdtContent>
                    </w:sdt>
                    <w:p w:rsidR="002D15AB" w:rsidRPr="00FE5EFD" w:rsidRDefault="002D15AB" w:rsidP="002D15AB">
                      <w:pPr>
                        <w:spacing w:after="60"/>
                        <w:rPr>
                          <w:rFonts w:ascii="Arial" w:hAnsi="Arial"/>
                          <w:noProof/>
                          <w:sz w:val="22"/>
                          <w:szCs w:val="28"/>
                        </w:rPr>
                      </w:pPr>
                      <w:r>
                        <w:rPr>
                          <w:rFonts w:ascii="Arial" w:hAnsi="Arial"/>
                          <w:noProof/>
                          <w:szCs w:val="28"/>
                        </w:rPr>
                        <w:t xml:space="preserve">Estamento: </w:t>
                      </w:r>
                      <w:r>
                        <w:rPr>
                          <w:rFonts w:ascii="Arial" w:hAnsi="Arial"/>
                          <w:noProof/>
                          <w:sz w:val="22"/>
                          <w:szCs w:val="28"/>
                        </w:rPr>
                        <w:t>Coordinadores de Academia</w:t>
                      </w:r>
                    </w:p>
                  </w:txbxContent>
                </v:textbox>
                <w10:wrap anchorx="page" anchory="page"/>
                <w10:anchorlock/>
              </v:roundrect>
            </w:pict>
          </mc:Fallback>
        </mc:AlternateContent>
      </w:r>
      <w:r w:rsidRPr="00766E97">
        <w:rPr>
          <w:rFonts w:ascii="Arial" w:hAnsi="Arial"/>
          <w:noProof/>
          <w:lang w:val="es-ES"/>
        </w:rPr>
        <mc:AlternateContent>
          <mc:Choice Requires="wpg">
            <w:drawing>
              <wp:anchor distT="0" distB="0" distL="114300" distR="114300" simplePos="0" relativeHeight="251659264" behindDoc="1" locked="1" layoutInCell="0" allowOverlap="1" wp14:anchorId="6C261ABB" wp14:editId="0CDC5A2B">
                <wp:simplePos x="0" y="0"/>
                <wp:positionH relativeFrom="page">
                  <wp:posOffset>394335</wp:posOffset>
                </wp:positionH>
                <wp:positionV relativeFrom="page">
                  <wp:posOffset>328295</wp:posOffset>
                </wp:positionV>
                <wp:extent cx="6830060" cy="9486900"/>
                <wp:effectExtent l="0" t="0" r="27940" b="38100"/>
                <wp:wrapNone/>
                <wp:docPr id="24" name="Group 19"/>
                <wp:cNvGraphicFramePr/>
                <a:graphic xmlns:a="http://schemas.openxmlformats.org/drawingml/2006/main">
                  <a:graphicData uri="http://schemas.microsoft.com/office/word/2010/wordprocessingGroup">
                    <wpg:wgp>
                      <wpg:cNvGrpSpPr/>
                      <wpg:grpSpPr>
                        <a:xfrm>
                          <a:off x="0" y="0"/>
                          <a:ext cx="6830060" cy="9486900"/>
                          <a:chOff x="0" y="0"/>
                          <a:chExt cx="6830568" cy="9957816"/>
                        </a:xfrm>
                        <a:noFill/>
                      </wpg:grpSpPr>
                      <wps:wsp>
                        <wps:cNvPr id="25" name="AutoShape 57"/>
                        <wps:cNvSpPr>
                          <a:spLocks noChangeArrowheads="1"/>
                        </wps:cNvSpPr>
                        <wps:spPr bwMode="auto">
                          <a:xfrm>
                            <a:off x="0" y="0"/>
                            <a:ext cx="6830568" cy="9957816"/>
                          </a:xfrm>
                          <a:prstGeom prst="roundRect">
                            <a:avLst>
                              <a:gd name="adj" fmla="val 1921"/>
                            </a:avLst>
                          </a:prstGeom>
                          <a:grp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 name="AutoShape 59"/>
                        <wps:cNvSpPr>
                          <a:spLocks noChangeArrowheads="1"/>
                        </wps:cNvSpPr>
                        <wps:spPr bwMode="auto">
                          <a:xfrm>
                            <a:off x="600120" y="4077491"/>
                            <a:ext cx="276328" cy="1764067"/>
                          </a:xfrm>
                          <a:prstGeom prst="roundRect">
                            <a:avLst>
                              <a:gd name="adj" fmla="val 21741"/>
                            </a:avLst>
                          </a:prstGeom>
                          <a:grpFill/>
                          <a:ln w="9525" cmpd="sng">
                            <a:solidFill>
                              <a:schemeClr val="bg1">
                                <a:lumMod val="85000"/>
                              </a:schemeClr>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31.05pt;margin-top:25.85pt;width:537.8pt;height:747pt;z-index:-251657216;mso-position-horizontal-relative:page;mso-position-vertical-relative:page;mso-width-relative:margin;mso-height-relative:margin" coordsize="6830568,9957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" o:allowincell="f">
                <v:roundrect id="AutoShape 57" o:spid="_x0000_s1027" style="position:absolute;width:6830568;height:9957816;visibility:visible;mso-wrap-style:square;v-text-anchor:top" arcsize="1259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YdjRwwAA&#10;ANsAAAAPAAAAZHJzL2Rvd25yZXYueG1sRI9Ba8JAFITvQv/D8oTe6sZAi42uUixCS0Vo1Psj+9zE&#10;Zt/G7DaJ/74rFDwOM/MNs1gNthYdtb5yrGA6SUAQF05XbBQc9punGQgfkDXWjknBlTyslg+jBWba&#10;9fxNXR6MiBD2GSooQ2gyKX1RkkU/cQ1x9E6utRiibI3ULfYRbmuZJsmLtFhxXCixoXVJxU/+axW8&#10;Hq/pZ/K1w+2566WRBtfv7qLU43h4m4MINIR7+L/9oRWkz3D7En+AX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YdjRwwAAANsAAAAPAAAAAAAAAAAAAAAAAJcCAABkcnMvZG93&#10;bnJldi54bWxQSwUGAAAAAAQABAD1AAAAhwMAAAAA&#10;" filled="f" strokecolor="#d8d8d8 [2732]" strokeweight="2pt"/>
                <v:roundrect id="AutoShape 59" o:spid="_x0000_s1028" style="position:absolute;left:600120;top:4077491;width:276328;height:1764067;visibility:visible;mso-wrap-style:square;v-text-anchor:top" arcsize="1424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ue7wAAA&#10;ANsAAAAPAAAAZHJzL2Rvd25yZXYueG1sRI/NCsIwEITvgu8QVvCmqYKi1SgqiIIe/HuApVnbYrOp&#10;TdT69kYQPA4z8w0zndemEE+qXG5ZQa8bgSBOrM45VXA5rzsjEM4jaywsk4I3OZjPmo0pxtq++EjP&#10;k09FgLCLUUHmfRlL6ZKMDLquLYmDd7WVQR9klUpd4SvATSH7UTSUBnMOCxmWtMoouZ0eRoHF3WW/&#10;Xw3G58PW55tFWR/vvaVS7Va9mIDwVPt/+NfeagX9IXy/hB8gZ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rPue7wAAAANsAAAAPAAAAAAAAAAAAAAAAAJcCAABkcnMvZG93bnJl&#10;di54bWxQSwUGAAAAAAQABAD1AAAAhAMAAAAA&#10;" filled="f" strokecolor="#d8d8d8 [2732]"/>
                <w10:wrap anchorx="page" anchory="page"/>
                <w10:anchorlock/>
              </v:group>
            </w:pict>
          </mc:Fallback>
        </mc:AlternateContent>
      </w:r>
    </w:p>
    <w:p w:rsidR="002D15AB" w:rsidRDefault="002D15AB" w:rsidP="002D15AB"/>
    <w:p w:rsidR="002D15AB" w:rsidRDefault="002D15AB" w:rsidP="002D15AB"/>
    <w:p w:rsidR="002D15AB" w:rsidRDefault="002D15AB" w:rsidP="002D15AB">
      <w:r>
        <w:br w:type="page"/>
      </w:r>
    </w:p>
    <w:p w:rsidR="002D15AB" w:rsidRPr="00FB2278" w:rsidRDefault="002D15AB" w:rsidP="002D15AB">
      <w:pPr>
        <w:spacing w:line="360" w:lineRule="auto"/>
        <w:rPr>
          <w:rFonts w:ascii="Arial" w:hAnsi="Arial"/>
          <w:b/>
        </w:rPr>
      </w:pPr>
    </w:p>
    <w:p w:rsidR="002D15AB" w:rsidRPr="00FB2278" w:rsidRDefault="002D15AB" w:rsidP="002D15AB">
      <w:pPr>
        <w:spacing w:line="360" w:lineRule="auto"/>
        <w:rPr>
          <w:rFonts w:ascii="Arial" w:hAnsi="Arial"/>
        </w:rPr>
      </w:pPr>
      <w:r>
        <w:rPr>
          <w:rFonts w:ascii="Arial" w:hAnsi="Arial"/>
          <w:b/>
        </w:rPr>
        <w:t xml:space="preserve">Estamento: </w:t>
      </w:r>
      <w:r w:rsidRPr="00FB2278">
        <w:rPr>
          <w:rFonts w:ascii="Arial" w:hAnsi="Arial"/>
          <w:b/>
        </w:rPr>
        <w:t xml:space="preserve">Coordinadores de Academia </w:t>
      </w:r>
    </w:p>
    <w:p w:rsidR="002D15AB" w:rsidRPr="00FB2278" w:rsidRDefault="002D15AB" w:rsidP="002D15AB">
      <w:pPr>
        <w:ind w:left="360"/>
        <w:rPr>
          <w:rFonts w:ascii="Arial" w:hAnsi="Arial"/>
          <w:b/>
        </w:rPr>
      </w:pPr>
    </w:p>
    <w:p w:rsidR="002D15AB" w:rsidRDefault="002D15AB" w:rsidP="002D15AB">
      <w:pPr>
        <w:spacing w:line="360" w:lineRule="auto"/>
        <w:jc w:val="both"/>
        <w:rPr>
          <w:rFonts w:ascii="Arial" w:hAnsi="Arial"/>
        </w:rPr>
      </w:pPr>
      <w:r w:rsidRPr="00FB2278">
        <w:rPr>
          <w:rFonts w:ascii="Arial" w:hAnsi="Arial"/>
        </w:rPr>
        <w:t>En la encuesta realizada a  los coordinadores de academia participaron un total de 16 catedráticos que fungen como coordinadores en las cinco academias de la licenciatura: Iniciación a la Disciplina, Salud, Organizacional, Educación, Comunitaria y Área terminal (aunque cabe señalar que solo la Región Veracruz cuenta con una sexta academia de investigación). En  el estudio participaron el 100% de Veracruz, el 83% de los coordinadores de Xalapa y el 67% de Poza Rica. En las Áreas solo en iniciación a la disciplina y en la terminal fueron las afectadas en participación.</w:t>
      </w:r>
    </w:p>
    <w:p w:rsidR="002D15AB" w:rsidRPr="00FB2278" w:rsidRDefault="002D15AB" w:rsidP="002D15AB">
      <w:pPr>
        <w:spacing w:line="360" w:lineRule="auto"/>
        <w:jc w:val="both"/>
        <w:rPr>
          <w:rFonts w:ascii="Arial" w:hAnsi="Arial"/>
        </w:rPr>
      </w:pPr>
      <w:r>
        <w:rPr>
          <w:rFonts w:ascii="Arial" w:hAnsi="Arial"/>
        </w:rPr>
        <w:t>Gráfico 61: M</w:t>
      </w:r>
      <w:r w:rsidRPr="00FB2278">
        <w:rPr>
          <w:rFonts w:ascii="Arial" w:hAnsi="Arial"/>
        </w:rPr>
        <w:t xml:space="preserve">iembros de las academias por Región  </w:t>
      </w:r>
    </w:p>
    <w:p w:rsidR="002D15AB" w:rsidRPr="0070351F" w:rsidRDefault="002D15AB" w:rsidP="002D15AB">
      <w:pPr>
        <w:ind w:left="360"/>
        <w:rPr>
          <w:rFonts w:ascii="Arial" w:hAnsi="Arial"/>
        </w:rPr>
      </w:pPr>
      <w:r w:rsidRPr="00FB2278">
        <w:rPr>
          <w:noProof/>
          <w:lang w:val="es-ES"/>
        </w:rPr>
        <mc:AlternateContent>
          <mc:Choice Requires="wps">
            <w:drawing>
              <wp:anchor distT="0" distB="0" distL="114300" distR="114300" simplePos="0" relativeHeight="251662336" behindDoc="0" locked="0" layoutInCell="1" allowOverlap="1" wp14:anchorId="614B36F7" wp14:editId="1D888311">
                <wp:simplePos x="0" y="0"/>
                <wp:positionH relativeFrom="column">
                  <wp:posOffset>3364274</wp:posOffset>
                </wp:positionH>
                <wp:positionV relativeFrom="paragraph">
                  <wp:posOffset>3411</wp:posOffset>
                </wp:positionV>
                <wp:extent cx="2743200" cy="2264735"/>
                <wp:effectExtent l="0" t="0" r="0" b="2540"/>
                <wp:wrapNone/>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64735"/>
                        </a:xfrm>
                        <a:prstGeom prst="rect">
                          <a:avLst/>
                        </a:prstGeom>
                        <a:solidFill>
                          <a:srgbClr val="FFFFFF"/>
                        </a:solidFill>
                        <a:ln w="9525">
                          <a:noFill/>
                          <a:miter lim="800000"/>
                          <a:headEnd/>
                          <a:tailEnd/>
                        </a:ln>
                      </wps:spPr>
                      <wps:txbx>
                        <w:txbxContent>
                          <w:p w:rsidR="002D15AB" w:rsidRDefault="002D15AB" w:rsidP="002D15AB">
                            <w:r>
                              <w:rPr>
                                <w:noProof/>
                                <w:lang w:val="es-ES"/>
                              </w:rPr>
                              <w:drawing>
                                <wp:inline distT="0" distB="0" distL="0" distR="0" wp14:anchorId="5AA898AA" wp14:editId="10F5A5E6">
                                  <wp:extent cx="2647507" cy="2211572"/>
                                  <wp:effectExtent l="0" t="0" r="19685" b="24130"/>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2" o:spid="_x0000_s1027" type="#_x0000_t202" style="position:absolute;left:0;text-align:left;margin-left:264.9pt;margin-top:.25pt;width:3in;height:17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" stroked="f">
                <v:textbox>
                  <w:txbxContent>
                    <w:p w:rsidR="002D15AB" w:rsidRDefault="002D15AB" w:rsidP="002D15AB">
                      <w:r>
                        <w:rPr>
                          <w:noProof/>
                          <w:lang w:val="es-ES"/>
                        </w:rPr>
                        <w:drawing>
                          <wp:inline distT="0" distB="0" distL="0" distR="0" wp14:anchorId="5AA898AA" wp14:editId="10F5A5E6">
                            <wp:extent cx="2647507" cy="2211572"/>
                            <wp:effectExtent l="0" t="0" r="19685" b="24130"/>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mc:Fallback>
        </mc:AlternateContent>
      </w:r>
      <w:r w:rsidRPr="00FB2278">
        <w:rPr>
          <w:noProof/>
          <w:lang w:val="es-ES"/>
        </w:rPr>
        <w:drawing>
          <wp:inline distT="0" distB="0" distL="0" distR="0" wp14:anchorId="1918D4C8" wp14:editId="68A7B992">
            <wp:extent cx="3179135" cy="2264735"/>
            <wp:effectExtent l="0" t="0" r="21590" b="21590"/>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15AB" w:rsidRPr="00581184" w:rsidRDefault="002D15AB" w:rsidP="002D15AB">
      <w:pPr>
        <w:rPr>
          <w:rFonts w:ascii="Arial" w:hAnsi="Arial"/>
          <w:sz w:val="20"/>
          <w:szCs w:val="20"/>
        </w:rPr>
      </w:pPr>
      <w:r w:rsidRPr="00581184">
        <w:rPr>
          <w:rFonts w:ascii="Arial" w:hAnsi="Arial"/>
          <w:sz w:val="20"/>
          <w:szCs w:val="20"/>
        </w:rPr>
        <w:t xml:space="preserve">Gráfico 61: el 83% de los coordinadores corresponden a Xalapa, un 67% a Poza Rica y el 100% Veracruz. </w:t>
      </w:r>
    </w:p>
    <w:p w:rsidR="002D15AB" w:rsidRPr="00557A86" w:rsidRDefault="002D15AB" w:rsidP="002D15AB">
      <w:pPr>
        <w:rPr>
          <w:rFonts w:ascii="Arial" w:hAnsi="Arial"/>
        </w:rPr>
      </w:pPr>
    </w:p>
    <w:p w:rsidR="002D15AB" w:rsidRDefault="002D15AB" w:rsidP="002D15AB">
      <w:pPr>
        <w:spacing w:line="360" w:lineRule="auto"/>
        <w:jc w:val="both"/>
        <w:rPr>
          <w:rFonts w:ascii="Arial" w:hAnsi="Arial"/>
        </w:rPr>
      </w:pPr>
      <w:r w:rsidRPr="00FB2278">
        <w:rPr>
          <w:rFonts w:ascii="Arial" w:hAnsi="Arial"/>
        </w:rPr>
        <w:t>Con relación al sexo se observó un equilibrio de Los participantes dado que  el 50% fueron hombres y el otro  50% fueron mujeres.</w:t>
      </w:r>
    </w:p>
    <w:p w:rsidR="002D15AB" w:rsidRDefault="002D15AB" w:rsidP="002D15AB">
      <w:pPr>
        <w:spacing w:line="360" w:lineRule="auto"/>
        <w:jc w:val="both"/>
        <w:rPr>
          <w:rFonts w:ascii="Arial" w:hAnsi="Arial"/>
        </w:rPr>
      </w:pPr>
    </w:p>
    <w:p w:rsidR="002D15AB" w:rsidRPr="00FB2278" w:rsidRDefault="002D15AB" w:rsidP="002D15AB">
      <w:pPr>
        <w:spacing w:line="360" w:lineRule="auto"/>
        <w:jc w:val="both"/>
        <w:rPr>
          <w:rFonts w:ascii="Arial" w:hAnsi="Arial"/>
        </w:rPr>
      </w:pPr>
      <w:r>
        <w:rPr>
          <w:rFonts w:ascii="Arial" w:hAnsi="Arial"/>
        </w:rPr>
        <w:t>Gráfico 62:  S</w:t>
      </w:r>
      <w:r w:rsidRPr="00693EFF">
        <w:rPr>
          <w:rFonts w:ascii="Arial" w:hAnsi="Arial"/>
        </w:rPr>
        <w:t>exo de los miembros de las academias</w:t>
      </w:r>
    </w:p>
    <w:p w:rsidR="002D15AB" w:rsidRDefault="002D15AB" w:rsidP="002D15AB">
      <w:pPr>
        <w:ind w:left="360"/>
        <w:jc w:val="center"/>
        <w:rPr>
          <w:rFonts w:ascii="Arial" w:hAnsi="Arial"/>
          <w:b/>
        </w:rPr>
      </w:pPr>
      <w:r w:rsidRPr="00FB2278">
        <w:rPr>
          <w:noProof/>
          <w:lang w:val="es-ES"/>
        </w:rPr>
        <w:drawing>
          <wp:inline distT="0" distB="0" distL="0" distR="0" wp14:anchorId="058709BB" wp14:editId="288D0FCB">
            <wp:extent cx="4391247" cy="1903228"/>
            <wp:effectExtent l="0" t="0" r="28575" b="27305"/>
            <wp:docPr id="68" name="Gráfico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15AB" w:rsidRPr="00693EFF" w:rsidRDefault="002D15AB" w:rsidP="002D15AB">
      <w:pPr>
        <w:rPr>
          <w:rFonts w:ascii="Arial" w:hAnsi="Arial"/>
          <w:b/>
        </w:rPr>
      </w:pPr>
      <w:r w:rsidRPr="00581184">
        <w:rPr>
          <w:rFonts w:ascii="Arial" w:hAnsi="Arial"/>
          <w:sz w:val="20"/>
          <w:szCs w:val="20"/>
        </w:rPr>
        <w:t xml:space="preserve">Gráfico 62: </w:t>
      </w:r>
      <w:r>
        <w:rPr>
          <w:rFonts w:ascii="Arial" w:hAnsi="Arial"/>
          <w:sz w:val="20"/>
          <w:szCs w:val="20"/>
        </w:rPr>
        <w:t xml:space="preserve">La muestra se compone de </w:t>
      </w:r>
      <w:r w:rsidRPr="00581184">
        <w:rPr>
          <w:rFonts w:ascii="Arial" w:hAnsi="Arial"/>
          <w:sz w:val="20"/>
          <w:szCs w:val="20"/>
        </w:rPr>
        <w:t>50% mujeres y 50% hombres</w:t>
      </w:r>
      <w:r>
        <w:rPr>
          <w:rFonts w:ascii="Arial" w:hAnsi="Arial"/>
          <w:b/>
        </w:rPr>
        <w:t>.</w:t>
      </w:r>
    </w:p>
    <w:p w:rsidR="002D15AB" w:rsidRPr="00FB2278" w:rsidRDefault="002D15AB" w:rsidP="002D15AB">
      <w:pPr>
        <w:pStyle w:val="Prrafodelista"/>
        <w:rPr>
          <w:rFonts w:ascii="Arial" w:hAnsi="Arial"/>
          <w:sz w:val="24"/>
          <w:szCs w:val="24"/>
        </w:rPr>
      </w:pPr>
      <w:r w:rsidRPr="00FB2278">
        <w:rPr>
          <w:rFonts w:ascii="Arial" w:hAnsi="Arial"/>
          <w:sz w:val="24"/>
          <w:szCs w:val="24"/>
        </w:rPr>
        <w:t xml:space="preserve">                 </w:t>
      </w:r>
    </w:p>
    <w:p w:rsidR="002D15AB" w:rsidRDefault="002D15AB" w:rsidP="002D15AB">
      <w:pPr>
        <w:spacing w:line="360" w:lineRule="auto"/>
        <w:rPr>
          <w:rFonts w:ascii="Arial" w:hAnsi="Arial"/>
        </w:rPr>
      </w:pPr>
      <w:r w:rsidRPr="00FB2278">
        <w:rPr>
          <w:rFonts w:ascii="Arial" w:hAnsi="Arial"/>
        </w:rPr>
        <w:t>Con respecto a la edad se observó que la mayoría (69%) se encuentran entre 52 y 57 años y el resto fluctúan en un rango entre los 35 y los 63 años.</w:t>
      </w:r>
    </w:p>
    <w:p w:rsidR="002D15AB" w:rsidRDefault="002D15AB" w:rsidP="002D15AB">
      <w:pPr>
        <w:spacing w:line="360" w:lineRule="auto"/>
        <w:rPr>
          <w:rFonts w:ascii="Arial" w:hAnsi="Arial"/>
        </w:rPr>
      </w:pPr>
    </w:p>
    <w:p w:rsidR="002D15AB" w:rsidRPr="00FB2278" w:rsidRDefault="002D15AB" w:rsidP="002D15AB">
      <w:pPr>
        <w:spacing w:line="360" w:lineRule="auto"/>
        <w:rPr>
          <w:rFonts w:ascii="Arial" w:hAnsi="Arial"/>
          <w:b/>
        </w:rPr>
      </w:pPr>
      <w:r>
        <w:rPr>
          <w:rFonts w:ascii="Arial" w:hAnsi="Arial"/>
        </w:rPr>
        <w:t xml:space="preserve">Gráfico 63: </w:t>
      </w:r>
      <w:r w:rsidRPr="00FB2278">
        <w:rPr>
          <w:rFonts w:ascii="Arial" w:hAnsi="Arial"/>
        </w:rPr>
        <w:t xml:space="preserve">Edad de los miembros de las academias   </w:t>
      </w:r>
    </w:p>
    <w:p w:rsidR="002D15AB" w:rsidRPr="00FB2278" w:rsidRDefault="002D15AB" w:rsidP="002D15AB">
      <w:pPr>
        <w:pStyle w:val="Prrafodelista"/>
        <w:rPr>
          <w:rFonts w:ascii="Arial" w:hAnsi="Arial"/>
          <w:b/>
          <w:sz w:val="24"/>
          <w:szCs w:val="24"/>
        </w:rPr>
      </w:pPr>
      <w:r w:rsidRPr="00FB2278">
        <w:rPr>
          <w:rFonts w:ascii="Arial" w:hAnsi="Arial"/>
          <w:noProof/>
          <w:sz w:val="24"/>
          <w:szCs w:val="24"/>
          <w:lang w:val="es-ES" w:eastAsia="es-ES"/>
        </w:rPr>
        <w:drawing>
          <wp:inline distT="0" distB="0" distL="0" distR="0" wp14:anchorId="46A3B5D0" wp14:editId="1182C8F4">
            <wp:extent cx="4997302" cy="2349796"/>
            <wp:effectExtent l="0" t="0" r="32385" b="12700"/>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B2278">
        <w:rPr>
          <w:rFonts w:ascii="Arial" w:hAnsi="Arial"/>
          <w:sz w:val="24"/>
          <w:szCs w:val="24"/>
        </w:rPr>
        <w:t xml:space="preserve"> </w:t>
      </w:r>
    </w:p>
    <w:p w:rsidR="002D15AB" w:rsidRDefault="002D15AB" w:rsidP="002D15AB">
      <w:pPr>
        <w:rPr>
          <w:rFonts w:ascii="Arial" w:hAnsi="Arial"/>
          <w:sz w:val="20"/>
          <w:szCs w:val="20"/>
        </w:rPr>
      </w:pPr>
      <w:r w:rsidRPr="00581184">
        <w:rPr>
          <w:rFonts w:ascii="Arial" w:hAnsi="Arial"/>
          <w:sz w:val="20"/>
          <w:szCs w:val="20"/>
        </w:rPr>
        <w:t>Gráfico 63: un 69% tiene una edad entre 52 y 57 años</w:t>
      </w:r>
    </w:p>
    <w:p w:rsidR="002D15AB" w:rsidRDefault="002D15AB" w:rsidP="002D15AB">
      <w:pPr>
        <w:rPr>
          <w:rFonts w:ascii="Arial" w:hAnsi="Arial"/>
          <w:sz w:val="20"/>
          <w:szCs w:val="20"/>
        </w:rPr>
      </w:pPr>
    </w:p>
    <w:p w:rsidR="002D15AB" w:rsidRPr="00581184" w:rsidRDefault="002D15AB" w:rsidP="002D15AB">
      <w:pPr>
        <w:rPr>
          <w:rFonts w:ascii="Arial" w:hAnsi="Arial"/>
          <w:sz w:val="20"/>
          <w:szCs w:val="20"/>
        </w:rPr>
      </w:pPr>
    </w:p>
    <w:p w:rsidR="002D15AB" w:rsidRDefault="002D15AB" w:rsidP="002D15AB">
      <w:pPr>
        <w:spacing w:line="360" w:lineRule="auto"/>
        <w:jc w:val="both"/>
        <w:rPr>
          <w:rFonts w:ascii="Arial" w:hAnsi="Arial"/>
        </w:rPr>
      </w:pPr>
      <w:r w:rsidRPr="00FB2278">
        <w:rPr>
          <w:rFonts w:ascii="Arial" w:hAnsi="Arial"/>
        </w:rPr>
        <w:t>En relación al grado académico los datos indican un nivel de especialización muy  favorable, dado que el 100% tienen estudios de posgrado, donde el 50% de ellos poseen doctorado y el restante 50% poseen maestría.</w:t>
      </w:r>
    </w:p>
    <w:p w:rsidR="002D15AB" w:rsidRDefault="002D15AB" w:rsidP="002D15AB">
      <w:pPr>
        <w:spacing w:line="360" w:lineRule="auto"/>
        <w:jc w:val="both"/>
        <w:rPr>
          <w:rFonts w:ascii="Arial" w:hAnsi="Arial"/>
        </w:rPr>
      </w:pPr>
    </w:p>
    <w:p w:rsidR="002D15AB" w:rsidRPr="00FB2278" w:rsidRDefault="002D15AB" w:rsidP="002D15AB">
      <w:pPr>
        <w:spacing w:line="360" w:lineRule="auto"/>
        <w:jc w:val="both"/>
        <w:rPr>
          <w:rFonts w:ascii="Arial" w:hAnsi="Arial"/>
        </w:rPr>
      </w:pPr>
    </w:p>
    <w:p w:rsidR="002D15AB" w:rsidRPr="00FB2278" w:rsidRDefault="002D15AB" w:rsidP="002D15AB">
      <w:pPr>
        <w:tabs>
          <w:tab w:val="left" w:pos="6096"/>
        </w:tabs>
        <w:rPr>
          <w:rFonts w:ascii="Arial" w:hAnsi="Arial"/>
        </w:rPr>
      </w:pPr>
      <w:r>
        <w:rPr>
          <w:rFonts w:ascii="Arial" w:hAnsi="Arial"/>
        </w:rPr>
        <w:t>Gráfico 64:</w:t>
      </w:r>
      <w:r w:rsidRPr="00FB2278">
        <w:rPr>
          <w:rFonts w:ascii="Arial" w:hAnsi="Arial"/>
        </w:rPr>
        <w:t xml:space="preserve"> Grado Académico de los miembros de las academias   </w:t>
      </w:r>
    </w:p>
    <w:p w:rsidR="002D15AB" w:rsidRPr="00FB2278" w:rsidRDefault="002D15AB" w:rsidP="002D15AB">
      <w:pPr>
        <w:ind w:left="360"/>
        <w:jc w:val="center"/>
        <w:rPr>
          <w:rFonts w:ascii="Arial" w:hAnsi="Arial"/>
          <w:b/>
        </w:rPr>
      </w:pPr>
      <w:r w:rsidRPr="00FB2278">
        <w:rPr>
          <w:noProof/>
          <w:lang w:val="es-ES"/>
        </w:rPr>
        <w:drawing>
          <wp:inline distT="0" distB="0" distL="0" distR="0" wp14:anchorId="6163EAB1" wp14:editId="512F6F07">
            <wp:extent cx="4316819" cy="2052084"/>
            <wp:effectExtent l="0" t="0" r="26670" b="31115"/>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15AB" w:rsidRDefault="002D15AB" w:rsidP="002D15AB">
      <w:pPr>
        <w:pStyle w:val="Prrafodelista"/>
        <w:ind w:hanging="720"/>
        <w:rPr>
          <w:rFonts w:ascii="Arial" w:hAnsi="Arial"/>
          <w:sz w:val="24"/>
          <w:szCs w:val="24"/>
        </w:rPr>
      </w:pPr>
      <w:r w:rsidRPr="00581184">
        <w:rPr>
          <w:rFonts w:ascii="Arial" w:hAnsi="Arial"/>
          <w:sz w:val="20"/>
          <w:szCs w:val="20"/>
        </w:rPr>
        <w:t>Gráfico 64: se encuentra dividido entre maestría y doctorado</w:t>
      </w:r>
      <w:r>
        <w:rPr>
          <w:rFonts w:ascii="Arial" w:hAnsi="Arial"/>
          <w:sz w:val="24"/>
          <w:szCs w:val="24"/>
        </w:rPr>
        <w:t>.</w:t>
      </w:r>
    </w:p>
    <w:p w:rsidR="002D15AB" w:rsidRPr="00FB2278" w:rsidRDefault="002D15AB" w:rsidP="002D15AB">
      <w:pPr>
        <w:pStyle w:val="Prrafodelista"/>
        <w:ind w:hanging="720"/>
        <w:rPr>
          <w:rFonts w:ascii="Arial" w:hAnsi="Arial"/>
          <w:sz w:val="24"/>
          <w:szCs w:val="24"/>
        </w:rPr>
      </w:pPr>
    </w:p>
    <w:p w:rsidR="002D15AB" w:rsidRDefault="002D15AB" w:rsidP="002D15AB">
      <w:pPr>
        <w:spacing w:line="360" w:lineRule="auto"/>
        <w:jc w:val="both"/>
        <w:rPr>
          <w:rFonts w:ascii="Arial" w:hAnsi="Arial"/>
        </w:rPr>
      </w:pPr>
      <w:r w:rsidRPr="00FB2278">
        <w:rPr>
          <w:rFonts w:ascii="Arial" w:hAnsi="Arial"/>
        </w:rPr>
        <w:t>Con respecto a la antigüedad de los coordinadores en la institución y el tiempo de permanencia en la coordinación se observó una antigüedad en la institución entre un rango de 11 a 35 años, aunque en su mayoría los docentes poseen entre 26  y 30 años (38%) o bien un 25% indica tener entre 11  y 15 años en la institución. Con respecto a su temporalidad en la academia la mayoría indicó poseer de 1 hasta 7 años. El resto han permanecido más de ocho años y hasta 29. Cabe indicar que el reglamente de academia señala una vigencia de 1 año en el mismo.</w:t>
      </w:r>
    </w:p>
    <w:p w:rsidR="002D15AB" w:rsidRDefault="002D15AB" w:rsidP="002D15AB">
      <w:pPr>
        <w:spacing w:line="360" w:lineRule="auto"/>
        <w:jc w:val="both"/>
        <w:rPr>
          <w:rFonts w:ascii="Arial" w:hAnsi="Arial"/>
        </w:rPr>
      </w:pPr>
    </w:p>
    <w:p w:rsidR="002D15AB" w:rsidRPr="00FB2278" w:rsidRDefault="002D15AB" w:rsidP="002D15AB">
      <w:pPr>
        <w:rPr>
          <w:rFonts w:ascii="Arial" w:hAnsi="Arial"/>
        </w:rPr>
      </w:pPr>
      <w:r>
        <w:rPr>
          <w:rFonts w:ascii="Arial" w:hAnsi="Arial"/>
        </w:rPr>
        <w:t>Gráfico 65: A</w:t>
      </w:r>
      <w:r w:rsidRPr="00FB2278">
        <w:rPr>
          <w:rFonts w:ascii="Arial" w:hAnsi="Arial"/>
        </w:rPr>
        <w:t>ntigüedad y tiempo en el cargo</w:t>
      </w:r>
    </w:p>
    <w:p w:rsidR="002D15AB" w:rsidRPr="00FB2278" w:rsidRDefault="002D15AB" w:rsidP="002D15AB">
      <w:pPr>
        <w:spacing w:line="360" w:lineRule="auto"/>
        <w:jc w:val="both"/>
        <w:rPr>
          <w:rFonts w:ascii="Arial" w:hAnsi="Arial"/>
        </w:rPr>
      </w:pPr>
    </w:p>
    <w:p w:rsidR="002D15AB" w:rsidRPr="00FB2278" w:rsidRDefault="002D15AB" w:rsidP="002D15AB">
      <w:pPr>
        <w:ind w:left="360"/>
        <w:rPr>
          <w:rFonts w:ascii="Arial" w:hAnsi="Arial"/>
        </w:rPr>
      </w:pPr>
      <w:r w:rsidRPr="00FB2278">
        <w:rPr>
          <w:noProof/>
          <w:lang w:val="es-ES"/>
        </w:rPr>
        <mc:AlternateContent>
          <mc:Choice Requires="wps">
            <w:drawing>
              <wp:anchor distT="0" distB="0" distL="114300" distR="114300" simplePos="0" relativeHeight="251663360" behindDoc="0" locked="0" layoutInCell="1" allowOverlap="1" wp14:anchorId="23C33A82" wp14:editId="13A85456">
                <wp:simplePos x="0" y="0"/>
                <wp:positionH relativeFrom="column">
                  <wp:posOffset>3332377</wp:posOffset>
                </wp:positionH>
                <wp:positionV relativeFrom="paragraph">
                  <wp:posOffset>57136</wp:posOffset>
                </wp:positionV>
                <wp:extent cx="2923540" cy="2615610"/>
                <wp:effectExtent l="0" t="0" r="10160"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615610"/>
                        </a:xfrm>
                        <a:prstGeom prst="rect">
                          <a:avLst/>
                        </a:prstGeom>
                        <a:solidFill>
                          <a:srgbClr val="FFFFFF"/>
                        </a:solidFill>
                        <a:ln w="9525">
                          <a:solidFill>
                            <a:srgbClr val="000000"/>
                          </a:solidFill>
                          <a:miter lim="800000"/>
                          <a:headEnd/>
                          <a:tailEnd/>
                        </a:ln>
                      </wps:spPr>
                      <wps:txbx>
                        <w:txbxContent>
                          <w:p w:rsidR="002D15AB" w:rsidRDefault="002D15AB" w:rsidP="002D15AB">
                            <w:r>
                              <w:rPr>
                                <w:noProof/>
                                <w:lang w:val="es-ES"/>
                              </w:rPr>
                              <w:drawing>
                                <wp:inline distT="0" distB="0" distL="0" distR="0" wp14:anchorId="45614CA0" wp14:editId="40C574C2">
                                  <wp:extent cx="2923954" cy="2626242"/>
                                  <wp:effectExtent l="0" t="0" r="22860" b="15875"/>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2.4pt;margin-top:4.5pt;width:230.2pt;height:20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">
                <v:textbox>
                  <w:txbxContent>
                    <w:p w:rsidR="002D15AB" w:rsidRDefault="002D15AB" w:rsidP="002D15AB">
                      <w:r>
                        <w:rPr>
                          <w:noProof/>
                          <w:lang w:val="es-ES"/>
                        </w:rPr>
                        <w:drawing>
                          <wp:inline distT="0" distB="0" distL="0" distR="0" wp14:anchorId="45614CA0" wp14:editId="40C574C2">
                            <wp:extent cx="2923954" cy="2626242"/>
                            <wp:effectExtent l="0" t="0" r="22860" b="15875"/>
                            <wp:docPr id="74" name="Gráfico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sidRPr="00FB2278">
        <w:rPr>
          <w:noProof/>
          <w:lang w:val="es-ES"/>
        </w:rPr>
        <w:drawing>
          <wp:inline distT="0" distB="0" distL="0" distR="0" wp14:anchorId="3BB8292E" wp14:editId="23109D8F">
            <wp:extent cx="3094074" cy="2668772"/>
            <wp:effectExtent l="0" t="0" r="30480" b="24130"/>
            <wp:docPr id="71" name="Gráfico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D15AB" w:rsidRPr="00FB2278" w:rsidRDefault="002D15AB" w:rsidP="002D15AB">
      <w:pPr>
        <w:pStyle w:val="Prrafodelista"/>
        <w:rPr>
          <w:rFonts w:ascii="Arial" w:hAnsi="Arial"/>
          <w:sz w:val="24"/>
          <w:szCs w:val="24"/>
        </w:rPr>
      </w:pPr>
    </w:p>
    <w:p w:rsidR="002D15AB" w:rsidRDefault="002D15AB" w:rsidP="002D15AB">
      <w:pPr>
        <w:spacing w:line="360" w:lineRule="auto"/>
        <w:jc w:val="both"/>
        <w:rPr>
          <w:rFonts w:ascii="Arial" w:hAnsi="Arial"/>
        </w:rPr>
      </w:pPr>
      <w:r w:rsidRPr="00FB2278">
        <w:rPr>
          <w:rFonts w:ascii="Arial" w:hAnsi="Arial"/>
        </w:rPr>
        <w:t>Otro dato obtenido fue el tipo de contratación que poseen los coordinadores. Destacando que una tercera parte de ello son Interinos por persona (No  poseen base), cuando el reglamento establece que deberá ser profesores de tiempo completo (Base)</w:t>
      </w:r>
    </w:p>
    <w:p w:rsidR="002D15AB" w:rsidRPr="00FB2278" w:rsidRDefault="002D15AB" w:rsidP="002D15AB">
      <w:pPr>
        <w:spacing w:line="360" w:lineRule="auto"/>
        <w:jc w:val="both"/>
        <w:rPr>
          <w:rFonts w:ascii="Arial" w:hAnsi="Arial"/>
        </w:rPr>
      </w:pPr>
    </w:p>
    <w:p w:rsidR="002D15AB" w:rsidRPr="00FB2278" w:rsidRDefault="002D15AB" w:rsidP="002D15AB">
      <w:pPr>
        <w:rPr>
          <w:rFonts w:ascii="Arial" w:hAnsi="Arial"/>
        </w:rPr>
      </w:pPr>
      <w:r w:rsidRPr="00FB2278">
        <w:rPr>
          <w:rFonts w:ascii="Arial" w:hAnsi="Arial"/>
        </w:rPr>
        <w:t>Gráf</w:t>
      </w:r>
      <w:r>
        <w:rPr>
          <w:rFonts w:ascii="Arial" w:hAnsi="Arial"/>
        </w:rPr>
        <w:t>ico 66: C</w:t>
      </w:r>
      <w:r w:rsidRPr="00FB2278">
        <w:rPr>
          <w:rFonts w:ascii="Arial" w:hAnsi="Arial"/>
        </w:rPr>
        <w:t xml:space="preserve">ontratación de los miembros de las academias   </w:t>
      </w:r>
    </w:p>
    <w:p w:rsidR="002D15AB" w:rsidRPr="00693EFF" w:rsidRDefault="002D15AB" w:rsidP="002D15AB">
      <w:pPr>
        <w:rPr>
          <w:rFonts w:ascii="Arial" w:hAnsi="Arial"/>
        </w:rPr>
      </w:pPr>
    </w:p>
    <w:p w:rsidR="002D15AB" w:rsidRPr="00FB2278" w:rsidRDefault="002D15AB" w:rsidP="002D15AB">
      <w:pPr>
        <w:ind w:left="360"/>
        <w:jc w:val="center"/>
        <w:rPr>
          <w:rFonts w:ascii="Arial" w:hAnsi="Arial"/>
        </w:rPr>
      </w:pPr>
      <w:r w:rsidRPr="00FB2278">
        <w:rPr>
          <w:noProof/>
          <w:lang w:val="es-ES"/>
        </w:rPr>
        <w:drawing>
          <wp:inline distT="0" distB="0" distL="0" distR="0" wp14:anchorId="4F79343D" wp14:editId="77D5F853">
            <wp:extent cx="4518837" cy="1956391"/>
            <wp:effectExtent l="0" t="0" r="27940" b="25400"/>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15AB" w:rsidRPr="00581184" w:rsidRDefault="002D15AB" w:rsidP="002D15AB">
      <w:pPr>
        <w:spacing w:line="360" w:lineRule="auto"/>
        <w:jc w:val="both"/>
        <w:rPr>
          <w:rFonts w:ascii="Arial" w:hAnsi="Arial"/>
          <w:sz w:val="20"/>
          <w:szCs w:val="20"/>
        </w:rPr>
      </w:pPr>
      <w:r w:rsidRPr="00581184">
        <w:rPr>
          <w:rFonts w:ascii="Arial" w:hAnsi="Arial"/>
          <w:sz w:val="20"/>
          <w:szCs w:val="20"/>
        </w:rPr>
        <w:t>Gráfico 66: el 69% tiene una contratación de base</w:t>
      </w:r>
    </w:p>
    <w:p w:rsidR="002D15AB" w:rsidRDefault="002D15AB" w:rsidP="002D15AB">
      <w:pPr>
        <w:spacing w:line="360" w:lineRule="auto"/>
        <w:jc w:val="both"/>
        <w:rPr>
          <w:rFonts w:ascii="Arial" w:hAnsi="Arial"/>
          <w:b/>
        </w:rPr>
      </w:pPr>
    </w:p>
    <w:p w:rsidR="002D15AB" w:rsidRPr="00FB2278" w:rsidRDefault="002D15AB" w:rsidP="002D15AB">
      <w:pPr>
        <w:spacing w:line="360" w:lineRule="auto"/>
        <w:jc w:val="both"/>
        <w:rPr>
          <w:rFonts w:ascii="Arial" w:hAnsi="Arial"/>
          <w:b/>
        </w:rPr>
      </w:pPr>
      <w:r w:rsidRPr="00FB2278">
        <w:rPr>
          <w:rFonts w:ascii="Arial" w:hAnsi="Arial"/>
          <w:b/>
        </w:rPr>
        <w:t>Categoría 2: Procesos Pedagógicos</w:t>
      </w:r>
    </w:p>
    <w:p w:rsidR="002D15AB" w:rsidRPr="00664486" w:rsidRDefault="002D15AB" w:rsidP="002D15AB">
      <w:pPr>
        <w:spacing w:line="360" w:lineRule="auto"/>
        <w:jc w:val="both"/>
        <w:rPr>
          <w:rFonts w:ascii="Arial" w:hAnsi="Arial"/>
        </w:rPr>
      </w:pPr>
      <w:r w:rsidRPr="00FB2278">
        <w:rPr>
          <w:rFonts w:ascii="Arial" w:hAnsi="Arial"/>
        </w:rPr>
        <w:t xml:space="preserve">En el análisis de la información obtenida solo operaba desde los procesos pedagógicos y con respecto a ella se analizaron tres aspectos, que a continuación se describen: </w:t>
      </w:r>
    </w:p>
    <w:p w:rsidR="002D15AB" w:rsidRPr="00FB2278" w:rsidRDefault="002D15AB" w:rsidP="002D15AB">
      <w:pPr>
        <w:pStyle w:val="Prrafodelista"/>
        <w:rPr>
          <w:rFonts w:ascii="Arial" w:eastAsia="Times New Roman" w:hAnsi="Arial" w:cs="Calibri"/>
          <w:color w:val="000000"/>
          <w:sz w:val="24"/>
          <w:szCs w:val="24"/>
          <w:lang w:eastAsia="es-MX"/>
        </w:rPr>
      </w:pPr>
    </w:p>
    <w:p w:rsidR="002D15AB" w:rsidRPr="00FB2278" w:rsidRDefault="002D15AB" w:rsidP="002D15AB">
      <w:pPr>
        <w:rPr>
          <w:rFonts w:ascii="Arial" w:eastAsia="Times New Roman" w:hAnsi="Arial" w:cs="Calibri"/>
          <w:b/>
          <w:color w:val="000000"/>
          <w:lang w:eastAsia="es-MX"/>
        </w:rPr>
      </w:pPr>
      <w:r w:rsidRPr="00FB2278">
        <w:rPr>
          <w:rFonts w:ascii="Arial" w:eastAsia="Times New Roman" w:hAnsi="Arial" w:cs="Calibri"/>
          <w:color w:val="000000"/>
          <w:lang w:eastAsia="es-MX"/>
        </w:rPr>
        <w:t> </w:t>
      </w:r>
      <w:r w:rsidRPr="00FB2278">
        <w:rPr>
          <w:rFonts w:ascii="Arial" w:eastAsia="Times New Roman" w:hAnsi="Arial" w:cs="Calibri"/>
          <w:b/>
          <w:color w:val="000000"/>
          <w:lang w:eastAsia="es-MX"/>
        </w:rPr>
        <w:t>A). Planeación de clases por Academias</w:t>
      </w:r>
    </w:p>
    <w:p w:rsidR="002D15AB" w:rsidRPr="00FB2278" w:rsidRDefault="002D15AB" w:rsidP="002D15AB">
      <w:pPr>
        <w:pStyle w:val="Prrafodelista"/>
        <w:rPr>
          <w:rFonts w:ascii="Arial" w:hAnsi="Arial"/>
          <w:sz w:val="24"/>
          <w:szCs w:val="24"/>
        </w:rPr>
      </w:pPr>
    </w:p>
    <w:p w:rsidR="002D15AB" w:rsidRDefault="002D15AB" w:rsidP="002D15AB">
      <w:pPr>
        <w:spacing w:line="360" w:lineRule="auto"/>
        <w:rPr>
          <w:rFonts w:ascii="Arial" w:hAnsi="Arial"/>
        </w:rPr>
      </w:pPr>
      <w:r w:rsidRPr="00664486">
        <w:rPr>
          <w:rFonts w:ascii="Arial" w:hAnsi="Arial"/>
        </w:rPr>
        <w:t>A este respecto los datos indicaron que los docentes de las académicas en si mayoría planean sus clases considerando diversos aspectos de relevancia, tales como el programa oficial, las competencias del perfil de egreso, el enfoque didáctico, los objetivos del programa, las horas total, entre otros. Sin embargo cabe señalar que un 38% del profesorado poco contempla la evaluación diagnóstica en su curso.</w:t>
      </w:r>
    </w:p>
    <w:p w:rsidR="002D15AB" w:rsidRDefault="002D15AB" w:rsidP="002D15AB">
      <w:pPr>
        <w:spacing w:line="360" w:lineRule="auto"/>
        <w:rPr>
          <w:rFonts w:ascii="Arial" w:hAnsi="Arial"/>
        </w:rPr>
      </w:pPr>
    </w:p>
    <w:p w:rsidR="002D15AB" w:rsidRDefault="002D15AB" w:rsidP="002D15AB">
      <w:pPr>
        <w:spacing w:line="360" w:lineRule="auto"/>
        <w:rPr>
          <w:rFonts w:ascii="Arial" w:hAnsi="Arial"/>
        </w:rPr>
      </w:pPr>
    </w:p>
    <w:p w:rsidR="002D15AB" w:rsidRDefault="002D15AB" w:rsidP="002D15AB">
      <w:pPr>
        <w:spacing w:line="360" w:lineRule="auto"/>
        <w:rPr>
          <w:rFonts w:ascii="Arial" w:hAnsi="Arial"/>
        </w:rPr>
      </w:pPr>
    </w:p>
    <w:p w:rsidR="002D15AB" w:rsidRDefault="002D15AB" w:rsidP="002D15AB">
      <w:pPr>
        <w:spacing w:line="360" w:lineRule="auto"/>
        <w:rPr>
          <w:rFonts w:ascii="Arial" w:hAnsi="Arial"/>
        </w:rPr>
      </w:pPr>
    </w:p>
    <w:p w:rsidR="002D15AB" w:rsidRPr="00664486" w:rsidRDefault="002D15AB" w:rsidP="002D15AB">
      <w:pPr>
        <w:rPr>
          <w:rFonts w:ascii="Arial" w:hAnsi="Arial"/>
        </w:rPr>
      </w:pPr>
      <w:r w:rsidRPr="00664486">
        <w:rPr>
          <w:rFonts w:ascii="Arial" w:hAnsi="Arial"/>
        </w:rPr>
        <w:t>Tabla</w:t>
      </w:r>
      <w:r>
        <w:rPr>
          <w:rFonts w:ascii="Arial" w:hAnsi="Arial"/>
        </w:rPr>
        <w:t xml:space="preserve">  34:</w:t>
      </w:r>
      <w:r w:rsidRPr="00664486">
        <w:rPr>
          <w:rFonts w:ascii="Arial" w:hAnsi="Arial"/>
        </w:rPr>
        <w:t xml:space="preserve"> </w:t>
      </w:r>
      <w:r>
        <w:rPr>
          <w:rFonts w:ascii="Arial" w:hAnsi="Arial"/>
        </w:rPr>
        <w:t>P</w:t>
      </w:r>
      <w:r w:rsidRPr="00664486">
        <w:rPr>
          <w:rFonts w:ascii="Arial" w:hAnsi="Arial"/>
        </w:rPr>
        <w:t xml:space="preserve">laneación al interior de las academias   </w:t>
      </w:r>
    </w:p>
    <w:p w:rsidR="002D15AB" w:rsidRPr="00664486" w:rsidRDefault="002D15AB" w:rsidP="002D15AB">
      <w:pPr>
        <w:spacing w:line="360" w:lineRule="auto"/>
        <w:rPr>
          <w:rFonts w:ascii="Arial" w:hAnsi="Arial"/>
        </w:rPr>
      </w:pPr>
    </w:p>
    <w:tbl>
      <w:tblPr>
        <w:tblStyle w:val="Listamediana1"/>
        <w:tblW w:w="9138" w:type="dxa"/>
        <w:tblLook w:val="04A0" w:firstRow="1" w:lastRow="0" w:firstColumn="1" w:lastColumn="0" w:noHBand="0" w:noVBand="1"/>
      </w:tblPr>
      <w:tblGrid>
        <w:gridCol w:w="5056"/>
        <w:gridCol w:w="697"/>
        <w:gridCol w:w="968"/>
        <w:gridCol w:w="1065"/>
        <w:gridCol w:w="697"/>
        <w:gridCol w:w="830"/>
      </w:tblGrid>
      <w:tr w:rsidR="002D15AB" w:rsidRPr="00FB2278" w:rsidTr="0039694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jc w:val="center"/>
              <w:rPr>
                <w:rFonts w:ascii="Arial" w:hAnsi="Arial"/>
              </w:rPr>
            </w:pPr>
            <w:r w:rsidRPr="00FB2278">
              <w:rPr>
                <w:rFonts w:ascii="Arial" w:hAnsi="Arial"/>
              </w:rPr>
              <w:t> </w:t>
            </w:r>
          </w:p>
        </w:tc>
        <w:tc>
          <w:tcPr>
            <w:tcW w:w="619"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FB2278">
              <w:rPr>
                <w:rFonts w:ascii="Arial" w:hAnsi="Arial"/>
              </w:rPr>
              <w:t>0 a 20%</w:t>
            </w:r>
          </w:p>
        </w:tc>
        <w:tc>
          <w:tcPr>
            <w:tcW w:w="968"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FB2278">
              <w:rPr>
                <w:rFonts w:ascii="Arial" w:hAnsi="Arial"/>
              </w:rPr>
              <w:t>21 a 40%</w:t>
            </w:r>
          </w:p>
        </w:tc>
        <w:tc>
          <w:tcPr>
            <w:tcW w:w="1065"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FB2278">
              <w:rPr>
                <w:rFonts w:ascii="Arial" w:hAnsi="Arial"/>
              </w:rPr>
              <w:t>41 a 60%</w:t>
            </w:r>
          </w:p>
        </w:tc>
        <w:tc>
          <w:tcPr>
            <w:tcW w:w="619"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61 a 80%</w:t>
            </w:r>
          </w:p>
        </w:tc>
        <w:tc>
          <w:tcPr>
            <w:tcW w:w="811"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hAnsi="Arial"/>
              </w:rPr>
            </w:pPr>
            <w:r w:rsidRPr="00FB2278">
              <w:rPr>
                <w:rFonts w:ascii="Arial" w:hAnsi="Arial"/>
              </w:rPr>
              <w:t>80 al 100%</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1. Planean las clases considerando el programa Oficial</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968"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0</w:t>
            </w:r>
          </w:p>
        </w:tc>
        <w:tc>
          <w:tcPr>
            <w:tcW w:w="1065"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13</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19</w:t>
            </w:r>
          </w:p>
        </w:tc>
        <w:tc>
          <w:tcPr>
            <w:tcW w:w="811"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63</w:t>
            </w:r>
          </w:p>
        </w:tc>
      </w:tr>
      <w:tr w:rsidR="002D15AB" w:rsidRPr="00FB2278" w:rsidTr="00396945">
        <w:trPr>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2. Consideran las competencias del perfil de egreso</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968"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1065"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0</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25</w:t>
            </w:r>
          </w:p>
        </w:tc>
        <w:tc>
          <w:tcPr>
            <w:tcW w:w="811"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63</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3. El enfoque didáctico de la planeación de clase es Congruente con el MEIF</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0</w:t>
            </w:r>
          </w:p>
        </w:tc>
        <w:tc>
          <w:tcPr>
            <w:tcW w:w="968"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1065"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13</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19</w:t>
            </w:r>
          </w:p>
        </w:tc>
        <w:tc>
          <w:tcPr>
            <w:tcW w:w="811"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63</w:t>
            </w:r>
          </w:p>
        </w:tc>
      </w:tr>
      <w:tr w:rsidR="002D15AB" w:rsidRPr="00FB2278" w:rsidTr="00396945">
        <w:trPr>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 xml:space="preserve">4. Consideran en la planeación el logro de los objetivos planteados en el Programa  Oficial </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968"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0</w:t>
            </w:r>
          </w:p>
        </w:tc>
        <w:tc>
          <w:tcPr>
            <w:tcW w:w="1065"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13</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25</w:t>
            </w:r>
          </w:p>
        </w:tc>
        <w:tc>
          <w:tcPr>
            <w:tcW w:w="811"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56</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 xml:space="preserve">5. En la planeación del curso, contemplan la Evaluación Diagnóstica </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13</w:t>
            </w:r>
          </w:p>
        </w:tc>
        <w:tc>
          <w:tcPr>
            <w:tcW w:w="968"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25</w:t>
            </w:r>
          </w:p>
        </w:tc>
        <w:tc>
          <w:tcPr>
            <w:tcW w:w="1065"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25</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19</w:t>
            </w:r>
          </w:p>
        </w:tc>
        <w:tc>
          <w:tcPr>
            <w:tcW w:w="811"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19</w:t>
            </w:r>
          </w:p>
        </w:tc>
      </w:tr>
      <w:tr w:rsidR="002D15AB" w:rsidRPr="00FB2278" w:rsidTr="00396945">
        <w:trPr>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 xml:space="preserve">6. Consideran en la planeación del curso estrategias: </w:t>
            </w:r>
            <w:proofErr w:type="spellStart"/>
            <w:r w:rsidRPr="00FB2278">
              <w:rPr>
                <w:rFonts w:ascii="Arial" w:hAnsi="Arial"/>
              </w:rPr>
              <w:t>metacognitivas</w:t>
            </w:r>
            <w:proofErr w:type="spellEnd"/>
            <w:r w:rsidRPr="00FB2278">
              <w:rPr>
                <w:rFonts w:ascii="Arial" w:hAnsi="Arial"/>
              </w:rPr>
              <w:t>, cognitivas, afectivas</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13</w:t>
            </w:r>
          </w:p>
        </w:tc>
        <w:tc>
          <w:tcPr>
            <w:tcW w:w="968"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0</w:t>
            </w:r>
          </w:p>
        </w:tc>
        <w:tc>
          <w:tcPr>
            <w:tcW w:w="1065"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25</w:t>
            </w:r>
          </w:p>
        </w:tc>
        <w:tc>
          <w:tcPr>
            <w:tcW w:w="811"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56</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7. Consideran en la planeación,  estrategias educativas con uso de avances tecnológicos</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0</w:t>
            </w:r>
          </w:p>
        </w:tc>
        <w:tc>
          <w:tcPr>
            <w:tcW w:w="968"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1065"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31</w:t>
            </w:r>
          </w:p>
        </w:tc>
        <w:tc>
          <w:tcPr>
            <w:tcW w:w="811"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56</w:t>
            </w:r>
          </w:p>
        </w:tc>
      </w:tr>
      <w:tr w:rsidR="002D15AB" w:rsidRPr="00FB2278" w:rsidTr="00396945">
        <w:trPr>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8. La planeación de la clase contempla referencias actualizadas</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968"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1065"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6</w:t>
            </w:r>
          </w:p>
        </w:tc>
        <w:tc>
          <w:tcPr>
            <w:tcW w:w="619"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25</w:t>
            </w:r>
          </w:p>
        </w:tc>
        <w:tc>
          <w:tcPr>
            <w:tcW w:w="811" w:type="dxa"/>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FB2278">
              <w:rPr>
                <w:rFonts w:ascii="Arial" w:hAnsi="Arial"/>
              </w:rPr>
              <w:t>50</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056" w:type="dxa"/>
            <w:noWrap/>
            <w:hideMark/>
          </w:tcPr>
          <w:p w:rsidR="002D15AB" w:rsidRPr="00FB2278" w:rsidRDefault="002D15AB" w:rsidP="00396945">
            <w:pPr>
              <w:rPr>
                <w:rFonts w:ascii="Arial" w:hAnsi="Arial"/>
              </w:rPr>
            </w:pPr>
            <w:r w:rsidRPr="00FB2278">
              <w:rPr>
                <w:rFonts w:ascii="Arial" w:hAnsi="Arial"/>
              </w:rPr>
              <w:t>9. En la planeación se consideran las horas totales del curso, de acuerdo al calendario</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968"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0</w:t>
            </w:r>
          </w:p>
        </w:tc>
        <w:tc>
          <w:tcPr>
            <w:tcW w:w="1065"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619"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6</w:t>
            </w:r>
          </w:p>
        </w:tc>
        <w:tc>
          <w:tcPr>
            <w:tcW w:w="811"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FB2278">
              <w:rPr>
                <w:rFonts w:ascii="Arial" w:hAnsi="Arial"/>
              </w:rPr>
              <w:t>81</w:t>
            </w:r>
          </w:p>
        </w:tc>
      </w:tr>
    </w:tbl>
    <w:p w:rsidR="002D15AB" w:rsidRPr="00581184" w:rsidRDefault="002D15AB" w:rsidP="002D15AB">
      <w:pPr>
        <w:pStyle w:val="Prrafodelista"/>
        <w:spacing w:line="240" w:lineRule="auto"/>
        <w:ind w:left="0"/>
        <w:rPr>
          <w:rFonts w:ascii="Arial" w:hAnsi="Arial"/>
          <w:sz w:val="20"/>
          <w:szCs w:val="20"/>
        </w:rPr>
      </w:pPr>
      <w:r w:rsidRPr="00581184">
        <w:rPr>
          <w:rFonts w:ascii="Arial" w:hAnsi="Arial"/>
          <w:sz w:val="20"/>
          <w:szCs w:val="20"/>
        </w:rPr>
        <w:t>Tabla 34: mayoría planean sus clases considerando diversos aspectos de relevancia, tales como el programa oficial, las competencias del perfil de egreso, el enfoque didáctico, los objetivos del programa, las horas total, entre otros</w:t>
      </w:r>
    </w:p>
    <w:p w:rsidR="002D15AB" w:rsidRPr="00581184" w:rsidRDefault="002D15AB" w:rsidP="002D15AB">
      <w:pPr>
        <w:pStyle w:val="Prrafodelista"/>
        <w:spacing w:line="240" w:lineRule="auto"/>
        <w:ind w:left="0"/>
        <w:rPr>
          <w:rFonts w:ascii="Arial" w:hAnsi="Arial"/>
          <w:sz w:val="20"/>
          <w:szCs w:val="20"/>
        </w:rPr>
      </w:pPr>
    </w:p>
    <w:p w:rsidR="002D15AB" w:rsidRPr="00664486" w:rsidRDefault="002D15AB" w:rsidP="002D15AB">
      <w:pPr>
        <w:rPr>
          <w:rFonts w:ascii="Arial" w:hAnsi="Arial"/>
        </w:rPr>
      </w:pPr>
      <w:r w:rsidRPr="00664486">
        <w:rPr>
          <w:rFonts w:ascii="Arial" w:eastAsia="Times New Roman" w:hAnsi="Arial" w:cs="Calibri"/>
          <w:b/>
          <w:color w:val="000000"/>
          <w:lang w:eastAsia="es-MX"/>
        </w:rPr>
        <w:t>B). Formación y Actualización</w:t>
      </w:r>
      <w:r w:rsidRPr="00664486">
        <w:rPr>
          <w:rFonts w:ascii="Arial" w:hAnsi="Arial"/>
        </w:rPr>
        <w:t xml:space="preserve"> </w:t>
      </w:r>
    </w:p>
    <w:p w:rsidR="002D15AB" w:rsidRPr="00664486" w:rsidRDefault="002D15AB" w:rsidP="002D15AB">
      <w:pPr>
        <w:rPr>
          <w:rFonts w:ascii="Arial" w:hAnsi="Arial"/>
        </w:rPr>
      </w:pPr>
    </w:p>
    <w:p w:rsidR="002D15AB" w:rsidRPr="00664486" w:rsidRDefault="002D15AB" w:rsidP="002D15AB">
      <w:pPr>
        <w:spacing w:line="360" w:lineRule="auto"/>
        <w:jc w:val="both"/>
        <w:rPr>
          <w:rFonts w:ascii="Arial" w:eastAsia="Times New Roman" w:hAnsi="Arial" w:cs="Calibri"/>
          <w:b/>
          <w:color w:val="000000"/>
          <w:lang w:eastAsia="es-MX"/>
        </w:rPr>
      </w:pPr>
      <w:r w:rsidRPr="00664486">
        <w:rPr>
          <w:rFonts w:ascii="Arial" w:hAnsi="Arial"/>
        </w:rPr>
        <w:t>Otro de los aspectos analizados fue la formación y actualización del profesorado. De acuerdo a los datos obtenidos los docentes de las instituciones declaran en su mayoría contar con estudios de posgrado, que dichos estudios corresponden al área de la EE y que los programas impartidos están avalados por la academia. Pero fue evidente que la actualización disciplinar es muy heterogénea en cuanto a la diversidad de porcentajes, desde quienes poco se actualizan hasta un 38% que lo están llevando a cabo.</w:t>
      </w:r>
      <w:r w:rsidRPr="00664486">
        <w:rPr>
          <w:rFonts w:ascii="Arial" w:eastAsia="Times New Roman" w:hAnsi="Arial" w:cs="Calibri"/>
          <w:color w:val="000000"/>
          <w:lang w:eastAsia="es-MX"/>
        </w:rPr>
        <w:t> </w:t>
      </w:r>
    </w:p>
    <w:p w:rsidR="002D15AB" w:rsidRDefault="002D15AB" w:rsidP="002D15AB">
      <w:pPr>
        <w:rPr>
          <w:rFonts w:ascii="Arial" w:eastAsia="Times New Roman" w:hAnsi="Arial" w:cs="Calibri"/>
          <w:b/>
          <w:color w:val="000000"/>
          <w:lang w:eastAsia="es-MX"/>
        </w:rPr>
      </w:pPr>
    </w:p>
    <w:p w:rsidR="002D15AB" w:rsidRDefault="002D15AB" w:rsidP="002D15AB">
      <w:pPr>
        <w:rPr>
          <w:rFonts w:ascii="Arial" w:eastAsia="Times New Roman" w:hAnsi="Arial" w:cs="Calibri"/>
          <w:b/>
          <w:color w:val="000000"/>
          <w:lang w:eastAsia="es-MX"/>
        </w:rPr>
      </w:pPr>
    </w:p>
    <w:p w:rsidR="002D15AB" w:rsidRPr="00664486" w:rsidRDefault="002D15AB" w:rsidP="002D15AB">
      <w:pPr>
        <w:rPr>
          <w:rFonts w:ascii="Arial" w:eastAsia="Times New Roman" w:hAnsi="Arial" w:cs="Calibri"/>
          <w:b/>
          <w:color w:val="000000"/>
          <w:lang w:eastAsia="es-MX"/>
        </w:rPr>
      </w:pPr>
    </w:p>
    <w:p w:rsidR="002D15AB" w:rsidRPr="00FB2278" w:rsidRDefault="002D15AB" w:rsidP="002D15AB">
      <w:pPr>
        <w:pStyle w:val="Prrafodelista"/>
        <w:rPr>
          <w:rFonts w:ascii="Arial" w:eastAsia="Times New Roman" w:hAnsi="Arial" w:cs="Calibri"/>
          <w:b/>
          <w:color w:val="000000"/>
          <w:sz w:val="24"/>
          <w:szCs w:val="24"/>
          <w:lang w:eastAsia="es-MX"/>
        </w:rPr>
      </w:pPr>
    </w:p>
    <w:p w:rsidR="002D15AB" w:rsidRPr="00664486" w:rsidRDefault="002D15AB" w:rsidP="002D15AB">
      <w:pPr>
        <w:rPr>
          <w:rFonts w:ascii="Arial" w:hAnsi="Arial"/>
        </w:rPr>
      </w:pPr>
      <w:r w:rsidRPr="00664486">
        <w:rPr>
          <w:rFonts w:ascii="Arial" w:hAnsi="Arial"/>
        </w:rPr>
        <w:t xml:space="preserve">Tabla </w:t>
      </w:r>
      <w:r>
        <w:rPr>
          <w:rFonts w:ascii="Arial" w:hAnsi="Arial"/>
        </w:rPr>
        <w:t>35: A</w:t>
      </w:r>
      <w:r w:rsidRPr="00664486">
        <w:rPr>
          <w:rFonts w:ascii="Arial" w:hAnsi="Arial"/>
        </w:rPr>
        <w:t xml:space="preserve">ctualización y formación de los miembros  de las academias   </w:t>
      </w:r>
    </w:p>
    <w:p w:rsidR="002D15AB" w:rsidRPr="00FB2278" w:rsidRDefault="002D15AB" w:rsidP="002D15AB">
      <w:pPr>
        <w:pStyle w:val="Prrafodelista"/>
        <w:rPr>
          <w:rFonts w:ascii="Arial" w:eastAsia="Times New Roman" w:hAnsi="Arial" w:cs="Calibri"/>
          <w:b/>
          <w:color w:val="000000"/>
          <w:sz w:val="24"/>
          <w:szCs w:val="24"/>
          <w:lang w:eastAsia="es-MX"/>
        </w:rPr>
      </w:pPr>
    </w:p>
    <w:tbl>
      <w:tblPr>
        <w:tblStyle w:val="Listamediana1"/>
        <w:tblW w:w="0" w:type="auto"/>
        <w:tblLook w:val="04A0" w:firstRow="1" w:lastRow="0" w:firstColumn="1" w:lastColumn="0" w:noHBand="0" w:noVBand="1"/>
      </w:tblPr>
      <w:tblGrid>
        <w:gridCol w:w="5468"/>
        <w:gridCol w:w="647"/>
        <w:gridCol w:w="712"/>
        <w:gridCol w:w="712"/>
        <w:gridCol w:w="712"/>
        <w:gridCol w:w="803"/>
      </w:tblGrid>
      <w:tr w:rsidR="002D15AB" w:rsidRPr="00FB2278" w:rsidTr="003969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 a 20%</w:t>
            </w: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21 a 40%</w:t>
            </w: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41 a 60%</w:t>
            </w: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61 a 80%</w:t>
            </w: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80 al 100%</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10. Los docentes titulares cuentan con estudios de posgrado</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69</w:t>
            </w:r>
          </w:p>
        </w:tc>
      </w:tr>
      <w:tr w:rsidR="002D15AB" w:rsidRPr="00FB2278" w:rsidTr="003969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11. Los estudios realizados corresponden al área en la que se ubica la EE que imparten</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31</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56</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12.  Realizan cursos de actualización disciplinar en el área de la EE que imparten</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25</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38</w:t>
            </w:r>
          </w:p>
        </w:tc>
      </w:tr>
      <w:tr w:rsidR="002D15AB" w:rsidRPr="00FB2278" w:rsidTr="003969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13. Los docentes desempeñan actividades profesionales relacionadas con la EE que imparten</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31</w:t>
            </w:r>
          </w:p>
        </w:tc>
        <w:tc>
          <w:tcPr>
            <w:tcW w:w="0" w:type="auto"/>
            <w:noWrap/>
            <w:hideMark/>
          </w:tcPr>
          <w:p w:rsidR="002D15AB" w:rsidRPr="00FB2278" w:rsidRDefault="002D15AB" w:rsidP="003969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38</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 xml:space="preserve">14.La actualización de los programas de las EE está avalada por la academia </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75</w:t>
            </w:r>
          </w:p>
        </w:tc>
      </w:tr>
    </w:tbl>
    <w:p w:rsidR="002D15AB" w:rsidRPr="00581184" w:rsidRDefault="002D15AB" w:rsidP="002D15AB">
      <w:pPr>
        <w:pStyle w:val="Prrafodelista"/>
        <w:spacing w:line="240" w:lineRule="auto"/>
        <w:ind w:left="0"/>
        <w:rPr>
          <w:rFonts w:ascii="Arial" w:hAnsi="Arial"/>
          <w:sz w:val="20"/>
          <w:szCs w:val="20"/>
        </w:rPr>
      </w:pPr>
      <w:r w:rsidRPr="00581184">
        <w:rPr>
          <w:rFonts w:ascii="Arial" w:hAnsi="Arial"/>
          <w:sz w:val="20"/>
          <w:szCs w:val="20"/>
        </w:rPr>
        <w:t xml:space="preserve">Tabla 35: </w:t>
      </w:r>
      <w:r>
        <w:rPr>
          <w:rFonts w:ascii="Arial" w:hAnsi="Arial"/>
          <w:sz w:val="20"/>
          <w:szCs w:val="20"/>
        </w:rPr>
        <w:t xml:space="preserve">la </w:t>
      </w:r>
      <w:r w:rsidRPr="00581184">
        <w:rPr>
          <w:rFonts w:ascii="Arial" w:hAnsi="Arial"/>
          <w:sz w:val="20"/>
          <w:szCs w:val="20"/>
        </w:rPr>
        <w:t>mayoría</w:t>
      </w:r>
      <w:r>
        <w:rPr>
          <w:rFonts w:ascii="Arial" w:hAnsi="Arial"/>
          <w:sz w:val="20"/>
          <w:szCs w:val="20"/>
        </w:rPr>
        <w:t xml:space="preserve"> señala</w:t>
      </w:r>
      <w:r w:rsidRPr="00581184">
        <w:rPr>
          <w:rFonts w:ascii="Arial" w:hAnsi="Arial"/>
          <w:sz w:val="20"/>
          <w:szCs w:val="20"/>
        </w:rPr>
        <w:t xml:space="preserve"> contar con estudios de posgrado, que dichos estudios corresponden al área de la EE y que los programas impartidos están avalados por la academ</w:t>
      </w:r>
      <w:r>
        <w:rPr>
          <w:rFonts w:ascii="Arial" w:hAnsi="Arial"/>
          <w:sz w:val="20"/>
          <w:szCs w:val="20"/>
        </w:rPr>
        <w:t>ia.</w:t>
      </w:r>
    </w:p>
    <w:p w:rsidR="002D15AB" w:rsidRPr="00664486" w:rsidRDefault="002D15AB" w:rsidP="002D15AB">
      <w:pPr>
        <w:rPr>
          <w:rFonts w:ascii="Arial" w:eastAsia="Times New Roman" w:hAnsi="Arial" w:cs="Calibri"/>
          <w:b/>
          <w:color w:val="000000"/>
          <w:lang w:eastAsia="es-MX"/>
        </w:rPr>
      </w:pPr>
      <w:r w:rsidRPr="00664486">
        <w:rPr>
          <w:rFonts w:ascii="Arial" w:eastAsia="Times New Roman" w:hAnsi="Arial" w:cs="Calibri"/>
          <w:b/>
          <w:color w:val="000000"/>
          <w:lang w:eastAsia="es-MX"/>
        </w:rPr>
        <w:t>C). Contenidos, objetivos y saberes de los Programas</w:t>
      </w:r>
    </w:p>
    <w:p w:rsidR="002D15AB" w:rsidRPr="00FB2278" w:rsidRDefault="002D15AB" w:rsidP="002D15AB">
      <w:pPr>
        <w:pStyle w:val="Prrafodelista"/>
        <w:rPr>
          <w:rFonts w:ascii="Arial" w:eastAsia="Times New Roman" w:hAnsi="Arial" w:cs="Calibri"/>
          <w:b/>
          <w:color w:val="000000"/>
          <w:sz w:val="24"/>
          <w:szCs w:val="24"/>
          <w:lang w:eastAsia="es-MX"/>
        </w:rPr>
      </w:pPr>
    </w:p>
    <w:p w:rsidR="002D15AB" w:rsidRDefault="002D15AB" w:rsidP="002D15AB">
      <w:pPr>
        <w:spacing w:line="360" w:lineRule="auto"/>
        <w:jc w:val="both"/>
        <w:rPr>
          <w:rFonts w:ascii="Arial" w:hAnsi="Arial"/>
        </w:rPr>
      </w:pPr>
      <w:r w:rsidRPr="00664486">
        <w:rPr>
          <w:rFonts w:ascii="Arial" w:hAnsi="Arial"/>
        </w:rPr>
        <w:t>A este respecto los resultados indicaron que las academias en su mayoría verifican la congruencia en los contenidos de sus programas, que los objetivos de las EE aporten al perfil de egreso, que se establezcan saberes multidisciplinarios y actividades de investigación. Sin embargo un aspecto importante de señalar fue el que ocasionalmente sean  valorados los objetivos del programa con el perfil de egreso</w:t>
      </w:r>
    </w:p>
    <w:p w:rsidR="002D15AB" w:rsidRDefault="002D15AB" w:rsidP="002D15AB">
      <w:pPr>
        <w:spacing w:line="360" w:lineRule="auto"/>
        <w:jc w:val="both"/>
        <w:rPr>
          <w:rFonts w:ascii="Arial" w:hAnsi="Arial"/>
        </w:rPr>
      </w:pPr>
    </w:p>
    <w:p w:rsidR="002D15AB" w:rsidRDefault="002D15AB" w:rsidP="002D15AB">
      <w:pPr>
        <w:spacing w:line="360" w:lineRule="auto"/>
        <w:jc w:val="both"/>
        <w:rPr>
          <w:rFonts w:ascii="Arial" w:hAnsi="Arial"/>
        </w:rPr>
      </w:pPr>
    </w:p>
    <w:p w:rsidR="002D15AB" w:rsidRDefault="002D15AB" w:rsidP="002D15AB">
      <w:pPr>
        <w:spacing w:line="360" w:lineRule="auto"/>
        <w:jc w:val="both"/>
        <w:rPr>
          <w:rFonts w:ascii="Arial" w:hAnsi="Arial"/>
        </w:rPr>
      </w:pPr>
    </w:p>
    <w:p w:rsidR="002D15AB" w:rsidRDefault="002D15AB" w:rsidP="002D15AB">
      <w:pPr>
        <w:spacing w:line="360" w:lineRule="auto"/>
        <w:jc w:val="both"/>
        <w:rPr>
          <w:rFonts w:ascii="Arial" w:hAnsi="Arial"/>
        </w:rPr>
      </w:pPr>
    </w:p>
    <w:p w:rsidR="002D15AB" w:rsidRDefault="002D15AB" w:rsidP="002D15AB">
      <w:pPr>
        <w:spacing w:line="360" w:lineRule="auto"/>
        <w:jc w:val="both"/>
        <w:rPr>
          <w:rFonts w:ascii="Arial" w:hAnsi="Arial"/>
        </w:rPr>
      </w:pPr>
    </w:p>
    <w:p w:rsidR="002D15AB" w:rsidRDefault="002D15AB" w:rsidP="002D15AB">
      <w:pPr>
        <w:spacing w:line="360" w:lineRule="auto"/>
        <w:jc w:val="both"/>
        <w:rPr>
          <w:rFonts w:ascii="Arial" w:hAnsi="Arial"/>
        </w:rPr>
      </w:pPr>
    </w:p>
    <w:p w:rsidR="002D15AB" w:rsidRPr="00664486" w:rsidRDefault="002D15AB" w:rsidP="002D15AB">
      <w:pPr>
        <w:spacing w:line="360" w:lineRule="auto"/>
        <w:jc w:val="both"/>
        <w:rPr>
          <w:rFonts w:ascii="Arial" w:hAnsi="Arial"/>
        </w:rPr>
      </w:pPr>
    </w:p>
    <w:p w:rsidR="002D15AB" w:rsidRPr="00693EFF" w:rsidRDefault="002D15AB" w:rsidP="002D15AB">
      <w:pPr>
        <w:rPr>
          <w:rFonts w:ascii="Arial" w:hAnsi="Arial"/>
        </w:rPr>
      </w:pPr>
      <w:r w:rsidRPr="00664486">
        <w:rPr>
          <w:rFonts w:ascii="Arial" w:hAnsi="Arial"/>
        </w:rPr>
        <w:t>Tabla</w:t>
      </w:r>
      <w:r>
        <w:rPr>
          <w:rFonts w:ascii="Arial" w:hAnsi="Arial"/>
        </w:rPr>
        <w:t xml:space="preserve"> 36:</w:t>
      </w:r>
      <w:r w:rsidRPr="00664486">
        <w:rPr>
          <w:rFonts w:ascii="Arial" w:hAnsi="Arial"/>
        </w:rPr>
        <w:t xml:space="preserve"> </w:t>
      </w:r>
      <w:r>
        <w:rPr>
          <w:rFonts w:ascii="Arial" w:hAnsi="Arial"/>
        </w:rPr>
        <w:t>O</w:t>
      </w:r>
      <w:r w:rsidRPr="00664486">
        <w:rPr>
          <w:rFonts w:ascii="Arial" w:hAnsi="Arial"/>
        </w:rPr>
        <w:t xml:space="preserve">bjetivos, contenidos y saberes  al interior de las academias   </w:t>
      </w:r>
    </w:p>
    <w:tbl>
      <w:tblPr>
        <w:tblStyle w:val="Cuadrculaclara"/>
        <w:tblW w:w="0" w:type="auto"/>
        <w:tblLook w:val="04A0" w:firstRow="1" w:lastRow="0" w:firstColumn="1" w:lastColumn="0" w:noHBand="0" w:noVBand="1"/>
      </w:tblPr>
      <w:tblGrid>
        <w:gridCol w:w="4729"/>
        <w:gridCol w:w="857"/>
        <w:gridCol w:w="1296"/>
        <w:gridCol w:w="1458"/>
        <w:gridCol w:w="714"/>
      </w:tblGrid>
      <w:tr w:rsidR="002D15AB" w:rsidRPr="00FB2278" w:rsidTr="003969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p>
        </w:tc>
        <w:tc>
          <w:tcPr>
            <w:tcW w:w="0" w:type="auto"/>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p>
        </w:tc>
        <w:tc>
          <w:tcPr>
            <w:tcW w:w="736" w:type="dxa"/>
            <w:noWrap/>
            <w:hideMark/>
          </w:tcPr>
          <w:p w:rsidR="002D15AB" w:rsidRPr="00FB2278" w:rsidRDefault="002D15AB" w:rsidP="003969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Calibri"/>
                <w:color w:val="000000"/>
                <w:lang w:eastAsia="es-MX"/>
              </w:rPr>
            </w:pP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 </w:t>
            </w:r>
          </w:p>
        </w:tc>
        <w:tc>
          <w:tcPr>
            <w:tcW w:w="0" w:type="auto"/>
            <w:noWrap/>
            <w:hideMark/>
          </w:tcPr>
          <w:p w:rsidR="002D15AB" w:rsidRPr="00664486"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sz w:val="18"/>
                <w:szCs w:val="18"/>
                <w:lang w:eastAsia="es-MX"/>
              </w:rPr>
            </w:pPr>
            <w:r w:rsidRPr="00664486">
              <w:rPr>
                <w:rFonts w:ascii="Arial" w:eastAsia="Times New Roman" w:hAnsi="Arial" w:cs="Calibri"/>
                <w:color w:val="000000"/>
                <w:sz w:val="18"/>
                <w:szCs w:val="18"/>
                <w:lang w:eastAsia="es-MX"/>
              </w:rPr>
              <w:t>Siempre</w:t>
            </w:r>
          </w:p>
        </w:tc>
        <w:tc>
          <w:tcPr>
            <w:tcW w:w="0" w:type="auto"/>
            <w:noWrap/>
            <w:hideMark/>
          </w:tcPr>
          <w:p w:rsidR="002D15AB" w:rsidRPr="00664486"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sz w:val="18"/>
                <w:szCs w:val="18"/>
                <w:lang w:eastAsia="es-MX"/>
              </w:rPr>
            </w:pPr>
            <w:r w:rsidRPr="00664486">
              <w:rPr>
                <w:rFonts w:ascii="Arial" w:eastAsia="Times New Roman" w:hAnsi="Arial" w:cs="Calibri"/>
                <w:color w:val="000000"/>
                <w:sz w:val="18"/>
                <w:szCs w:val="18"/>
                <w:lang w:eastAsia="es-MX"/>
              </w:rPr>
              <w:t>Regularmente</w:t>
            </w:r>
          </w:p>
        </w:tc>
        <w:tc>
          <w:tcPr>
            <w:tcW w:w="0" w:type="auto"/>
            <w:noWrap/>
            <w:hideMark/>
          </w:tcPr>
          <w:p w:rsidR="002D15AB" w:rsidRPr="00664486"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sz w:val="18"/>
                <w:szCs w:val="18"/>
                <w:lang w:eastAsia="es-MX"/>
              </w:rPr>
            </w:pPr>
            <w:r w:rsidRPr="00664486">
              <w:rPr>
                <w:rFonts w:ascii="Arial" w:eastAsia="Times New Roman" w:hAnsi="Arial" w:cs="Calibri"/>
                <w:color w:val="000000"/>
                <w:sz w:val="18"/>
                <w:szCs w:val="18"/>
                <w:lang w:eastAsia="es-MX"/>
              </w:rPr>
              <w:t>Ocasionalmente</w:t>
            </w:r>
          </w:p>
        </w:tc>
        <w:tc>
          <w:tcPr>
            <w:tcW w:w="736" w:type="dxa"/>
            <w:noWrap/>
            <w:hideMark/>
          </w:tcPr>
          <w:p w:rsidR="002D15AB" w:rsidRPr="00664486"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sz w:val="18"/>
                <w:szCs w:val="18"/>
                <w:lang w:eastAsia="es-MX"/>
              </w:rPr>
            </w:pPr>
            <w:r w:rsidRPr="00664486">
              <w:rPr>
                <w:rFonts w:ascii="Arial" w:eastAsia="Times New Roman" w:hAnsi="Arial" w:cs="Calibri"/>
                <w:color w:val="000000"/>
                <w:sz w:val="18"/>
                <w:szCs w:val="18"/>
                <w:lang w:eastAsia="es-MX"/>
              </w:rPr>
              <w:t>Nunca</w:t>
            </w:r>
          </w:p>
        </w:tc>
      </w:tr>
      <w:tr w:rsidR="002D15AB" w:rsidRPr="00FB2278" w:rsidTr="003969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15. Se verifica que las modificaciones a los programas de las EE mantengan la congruencia</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75</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13</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736" w:type="dxa"/>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16. Se evalúa en qué medida los objetivos de las EE aportan al perfil de egreso</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38</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25</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37</w:t>
            </w:r>
          </w:p>
        </w:tc>
        <w:tc>
          <w:tcPr>
            <w:tcW w:w="736"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r>
      <w:tr w:rsidR="002D15AB" w:rsidRPr="00FB2278" w:rsidTr="0039694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17. Se promueve que los programas de las EE establezcan saberes multidisciplinarios</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63</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38</w:t>
            </w:r>
          </w:p>
        </w:tc>
        <w:tc>
          <w:tcPr>
            <w:tcW w:w="0" w:type="auto"/>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736" w:type="dxa"/>
            <w:noWrap/>
            <w:hideMark/>
          </w:tcPr>
          <w:p w:rsidR="002D15AB" w:rsidRPr="00FB2278" w:rsidRDefault="002D15AB" w:rsidP="00396945">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r>
      <w:tr w:rsidR="002D15AB" w:rsidRPr="00FB2278" w:rsidTr="003969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42" w:type="dxa"/>
            <w:noWrap/>
            <w:hideMark/>
          </w:tcPr>
          <w:p w:rsidR="002D15AB" w:rsidRPr="00FB2278" w:rsidRDefault="002D15AB" w:rsidP="00396945">
            <w:pPr>
              <w:rPr>
                <w:rFonts w:ascii="Arial" w:eastAsia="Times New Roman" w:hAnsi="Arial" w:cs="Calibri"/>
                <w:color w:val="000000"/>
                <w:lang w:eastAsia="es-MX"/>
              </w:rPr>
            </w:pPr>
            <w:r w:rsidRPr="00FB2278">
              <w:rPr>
                <w:rFonts w:ascii="Arial" w:eastAsia="Times New Roman" w:hAnsi="Arial" w:cs="Calibri"/>
                <w:color w:val="000000"/>
                <w:lang w:eastAsia="es-MX"/>
              </w:rPr>
              <w:t>18. Se promueve que los programas de las EE consideren actividades de investigación</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75</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19</w:t>
            </w:r>
          </w:p>
        </w:tc>
        <w:tc>
          <w:tcPr>
            <w:tcW w:w="0" w:type="auto"/>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6</w:t>
            </w:r>
          </w:p>
        </w:tc>
        <w:tc>
          <w:tcPr>
            <w:tcW w:w="736" w:type="dxa"/>
            <w:noWrap/>
            <w:hideMark/>
          </w:tcPr>
          <w:p w:rsidR="002D15AB" w:rsidRPr="00FB2278" w:rsidRDefault="002D15AB" w:rsidP="003969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Calibri"/>
                <w:color w:val="000000"/>
                <w:lang w:eastAsia="es-MX"/>
              </w:rPr>
            </w:pPr>
            <w:r w:rsidRPr="00FB2278">
              <w:rPr>
                <w:rFonts w:ascii="Arial" w:eastAsia="Times New Roman" w:hAnsi="Arial" w:cs="Calibri"/>
                <w:color w:val="000000"/>
                <w:lang w:eastAsia="es-MX"/>
              </w:rPr>
              <w:t>0</w:t>
            </w:r>
          </w:p>
        </w:tc>
      </w:tr>
    </w:tbl>
    <w:p w:rsidR="002D15AB" w:rsidRPr="00581184" w:rsidRDefault="002D15AB" w:rsidP="002D15AB">
      <w:pPr>
        <w:pStyle w:val="Prrafodelista"/>
        <w:spacing w:line="240" w:lineRule="auto"/>
        <w:ind w:left="0"/>
        <w:rPr>
          <w:rFonts w:ascii="Arial" w:hAnsi="Arial"/>
          <w:sz w:val="20"/>
          <w:szCs w:val="20"/>
        </w:rPr>
      </w:pPr>
      <w:r w:rsidRPr="00581184">
        <w:rPr>
          <w:rFonts w:ascii="Arial" w:hAnsi="Arial"/>
          <w:sz w:val="20"/>
          <w:szCs w:val="20"/>
        </w:rPr>
        <w:t>Tabla 36: el 75% señala que siempre verifica las modificacione a los programas de la EE mantengan congruencia. Un 63% sostiene que siempre promueve que los programas de la EE establezcan saberes multidisciplinarios</w:t>
      </w:r>
    </w:p>
    <w:p w:rsidR="002D15AB" w:rsidRDefault="002D15AB" w:rsidP="002D15AB">
      <w:pPr>
        <w:rPr>
          <w:rFonts w:ascii="Arial" w:eastAsia="Times New Roman" w:hAnsi="Arial" w:cs="Calibri"/>
          <w:b/>
          <w:color w:val="000000"/>
          <w:lang w:eastAsia="es-MX"/>
        </w:rPr>
      </w:pPr>
    </w:p>
    <w:p w:rsidR="002D15AB" w:rsidRDefault="002D15AB" w:rsidP="002D15AB">
      <w:pPr>
        <w:rPr>
          <w:rFonts w:ascii="Arial" w:eastAsia="Times New Roman" w:hAnsi="Arial" w:cs="Calibri"/>
          <w:b/>
          <w:color w:val="000000"/>
          <w:lang w:eastAsia="es-MX"/>
        </w:rPr>
      </w:pPr>
      <w:r>
        <w:rPr>
          <w:rFonts w:ascii="Arial" w:eastAsia="Times New Roman" w:hAnsi="Arial" w:cs="Calibri"/>
          <w:b/>
          <w:color w:val="000000"/>
          <w:lang w:eastAsia="es-MX"/>
        </w:rPr>
        <w:t>Conclusiones</w:t>
      </w:r>
    </w:p>
    <w:p w:rsidR="002D15AB" w:rsidRPr="00664486" w:rsidRDefault="002D15AB" w:rsidP="002D15AB">
      <w:pPr>
        <w:rPr>
          <w:rFonts w:ascii="Arial" w:eastAsia="Times New Roman" w:hAnsi="Arial" w:cs="Calibri"/>
          <w:b/>
          <w:color w:val="000000"/>
          <w:lang w:eastAsia="es-MX"/>
        </w:rPr>
      </w:pPr>
    </w:p>
    <w:p w:rsidR="002D15AB" w:rsidRPr="00664486" w:rsidRDefault="002D15AB" w:rsidP="002D15AB">
      <w:pPr>
        <w:spacing w:line="360" w:lineRule="auto"/>
        <w:jc w:val="both"/>
        <w:rPr>
          <w:rFonts w:ascii="Arial" w:eastAsia="Times New Roman" w:hAnsi="Arial" w:cs="Calibri"/>
          <w:color w:val="000000"/>
          <w:lang w:eastAsia="es-MX"/>
        </w:rPr>
      </w:pPr>
      <w:r w:rsidRPr="00664486">
        <w:rPr>
          <w:rFonts w:ascii="Arial" w:eastAsia="Times New Roman" w:hAnsi="Arial" w:cs="Calibri"/>
          <w:color w:val="000000"/>
          <w:lang w:eastAsia="es-MX"/>
        </w:rPr>
        <w:t>Los resultados nos indican que las academias están operando de forma satisfactoria en tanto que señalan cuidar aspectos académicos sustantivos anteriormente especificados, sin embargo cabe denotar que los coordinadores están realizando esta función en periodos de 10 años y que una tercera parte no son PTC. Los cuales no son condiciones más favorables para el desempeño de esta actividad.</w:t>
      </w:r>
    </w:p>
    <w:p w:rsidR="002D15AB" w:rsidRPr="00664486" w:rsidRDefault="002D15AB" w:rsidP="002D15AB">
      <w:pPr>
        <w:spacing w:line="360" w:lineRule="auto"/>
        <w:jc w:val="both"/>
        <w:rPr>
          <w:rFonts w:ascii="Arial" w:eastAsia="Times New Roman" w:hAnsi="Arial" w:cs="Calibri"/>
          <w:color w:val="000000"/>
          <w:lang w:eastAsia="es-MX"/>
        </w:rPr>
      </w:pPr>
      <w:r w:rsidRPr="00664486">
        <w:rPr>
          <w:rFonts w:ascii="Arial" w:eastAsia="Times New Roman" w:hAnsi="Arial" w:cs="Calibri"/>
          <w:color w:val="000000"/>
          <w:lang w:eastAsia="es-MX"/>
        </w:rPr>
        <w:t>Indican importantes fortalezas en cuanto a las actividades de planeación de sus clases, pero si muestran claras deficiencias en cuanto a la actualización disciplinar y a las actividades profesionales que realizan en relación a las EE que imparten.</w:t>
      </w:r>
    </w:p>
    <w:p w:rsidR="002D15AB" w:rsidRPr="00FB2278" w:rsidRDefault="002D15AB" w:rsidP="002D15AB">
      <w:pPr>
        <w:spacing w:line="360" w:lineRule="auto"/>
        <w:jc w:val="center"/>
        <w:rPr>
          <w:rFonts w:ascii="Arial" w:hAnsi="Arial"/>
        </w:rPr>
      </w:pPr>
    </w:p>
    <w:p w:rsidR="002D15AB" w:rsidRPr="00FB2278" w:rsidRDefault="002D15AB" w:rsidP="002D15AB">
      <w:pPr>
        <w:spacing w:line="360" w:lineRule="auto"/>
        <w:jc w:val="both"/>
        <w:rPr>
          <w:rFonts w:ascii="Arial" w:hAnsi="Arial"/>
        </w:rPr>
      </w:pPr>
    </w:p>
    <w:p w:rsidR="002D15AB" w:rsidRPr="00FB2278" w:rsidRDefault="002D15AB" w:rsidP="002D15AB">
      <w:pPr>
        <w:spacing w:before="100" w:beforeAutospacing="1" w:after="100" w:afterAutospacing="1" w:line="360" w:lineRule="auto"/>
        <w:jc w:val="both"/>
        <w:rPr>
          <w:rFonts w:ascii="Arial" w:hAnsi="Arial" w:cs="Arial"/>
        </w:rPr>
      </w:pPr>
    </w:p>
    <w:p w:rsidR="00193DE1" w:rsidRDefault="00193DE1"/>
    <w:sectPr w:rsidR="00193DE1" w:rsidSect="00193DE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DD" w:rsidRDefault="000C2BDD" w:rsidP="002D15AB">
      <w:r>
        <w:separator/>
      </w:r>
    </w:p>
  </w:endnote>
  <w:endnote w:type="continuationSeparator" w:id="0">
    <w:p w:rsidR="000C2BDD" w:rsidRDefault="000C2BDD" w:rsidP="002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DD" w:rsidRDefault="000C2BDD" w:rsidP="002D15AB">
      <w:r>
        <w:separator/>
      </w:r>
    </w:p>
  </w:footnote>
  <w:footnote w:type="continuationSeparator" w:id="0">
    <w:p w:rsidR="000C2BDD" w:rsidRDefault="000C2BDD" w:rsidP="002D1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AB"/>
    <w:rsid w:val="000C2BDD"/>
    <w:rsid w:val="00193DE1"/>
    <w:rsid w:val="002D15A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CC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5AB"/>
    <w:pPr>
      <w:tabs>
        <w:tab w:val="center" w:pos="4252"/>
        <w:tab w:val="right" w:pos="8504"/>
      </w:tabs>
    </w:pPr>
  </w:style>
  <w:style w:type="character" w:customStyle="1" w:styleId="EncabezadoCar">
    <w:name w:val="Encabezado Car"/>
    <w:basedOn w:val="Fuentedeprrafopredeter"/>
    <w:link w:val="Encabezado"/>
    <w:uiPriority w:val="99"/>
    <w:rsid w:val="002D15AB"/>
  </w:style>
  <w:style w:type="paragraph" w:styleId="Piedepgina">
    <w:name w:val="footer"/>
    <w:basedOn w:val="Normal"/>
    <w:link w:val="PiedepginaCar"/>
    <w:uiPriority w:val="99"/>
    <w:unhideWhenUsed/>
    <w:rsid w:val="002D15AB"/>
    <w:pPr>
      <w:tabs>
        <w:tab w:val="center" w:pos="4252"/>
        <w:tab w:val="right" w:pos="8504"/>
      </w:tabs>
    </w:pPr>
  </w:style>
  <w:style w:type="character" w:customStyle="1" w:styleId="PiedepginaCar">
    <w:name w:val="Pie de página Car"/>
    <w:basedOn w:val="Fuentedeprrafopredeter"/>
    <w:link w:val="Piedepgina"/>
    <w:uiPriority w:val="99"/>
    <w:rsid w:val="002D15AB"/>
  </w:style>
  <w:style w:type="paragraph" w:styleId="Prrafodelista">
    <w:name w:val="List Paragraph"/>
    <w:basedOn w:val="Normal"/>
    <w:uiPriority w:val="34"/>
    <w:qFormat/>
    <w:rsid w:val="002D15AB"/>
    <w:pPr>
      <w:spacing w:after="200" w:line="276" w:lineRule="auto"/>
      <w:ind w:left="720"/>
      <w:contextualSpacing/>
    </w:pPr>
    <w:rPr>
      <w:rFonts w:eastAsiaTheme="minorHAnsi"/>
      <w:sz w:val="22"/>
      <w:szCs w:val="22"/>
      <w:lang w:val="es-MX" w:eastAsia="en-US"/>
    </w:rPr>
  </w:style>
  <w:style w:type="table" w:styleId="Listamediana1">
    <w:name w:val="Medium List 1"/>
    <w:basedOn w:val="Tablanormal"/>
    <w:uiPriority w:val="65"/>
    <w:rsid w:val="002D15A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2D15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2D15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15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15AB"/>
    <w:pPr>
      <w:tabs>
        <w:tab w:val="center" w:pos="4252"/>
        <w:tab w:val="right" w:pos="8504"/>
      </w:tabs>
    </w:pPr>
  </w:style>
  <w:style w:type="character" w:customStyle="1" w:styleId="EncabezadoCar">
    <w:name w:val="Encabezado Car"/>
    <w:basedOn w:val="Fuentedeprrafopredeter"/>
    <w:link w:val="Encabezado"/>
    <w:uiPriority w:val="99"/>
    <w:rsid w:val="002D15AB"/>
  </w:style>
  <w:style w:type="paragraph" w:styleId="Piedepgina">
    <w:name w:val="footer"/>
    <w:basedOn w:val="Normal"/>
    <w:link w:val="PiedepginaCar"/>
    <w:uiPriority w:val="99"/>
    <w:unhideWhenUsed/>
    <w:rsid w:val="002D15AB"/>
    <w:pPr>
      <w:tabs>
        <w:tab w:val="center" w:pos="4252"/>
        <w:tab w:val="right" w:pos="8504"/>
      </w:tabs>
    </w:pPr>
  </w:style>
  <w:style w:type="character" w:customStyle="1" w:styleId="PiedepginaCar">
    <w:name w:val="Pie de página Car"/>
    <w:basedOn w:val="Fuentedeprrafopredeter"/>
    <w:link w:val="Piedepgina"/>
    <w:uiPriority w:val="99"/>
    <w:rsid w:val="002D15AB"/>
  </w:style>
  <w:style w:type="paragraph" w:styleId="Prrafodelista">
    <w:name w:val="List Paragraph"/>
    <w:basedOn w:val="Normal"/>
    <w:uiPriority w:val="34"/>
    <w:qFormat/>
    <w:rsid w:val="002D15AB"/>
    <w:pPr>
      <w:spacing w:after="200" w:line="276" w:lineRule="auto"/>
      <w:ind w:left="720"/>
      <w:contextualSpacing/>
    </w:pPr>
    <w:rPr>
      <w:rFonts w:eastAsiaTheme="minorHAnsi"/>
      <w:sz w:val="22"/>
      <w:szCs w:val="22"/>
      <w:lang w:val="es-MX" w:eastAsia="en-US"/>
    </w:rPr>
  </w:style>
  <w:style w:type="table" w:styleId="Listamediana1">
    <w:name w:val="Medium List 1"/>
    <w:basedOn w:val="Tablanormal"/>
    <w:uiPriority w:val="65"/>
    <w:rsid w:val="002D15AB"/>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2D15A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2D15A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15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r.%20Delgadillo\Desktop\Inorme%20para%20Reunion%20PR_Oct%2014\Base%20de%20datos_Cood%20de%20Academ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Participación por Región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928661053627"/>
          <c:y val="0.325618089053242"/>
          <c:w val="0.87071338946373"/>
          <c:h val="0.513070259281174"/>
        </c:manualLayout>
      </c:layout>
      <c:bar3D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Lbls>
            <c:dLbl>
              <c:idx val="0"/>
              <c:layout>
                <c:manualLayout>
                  <c:x val="0.00555555555555555"/>
                  <c:y val="-0.0416666666666667"/>
                </c:manualLayout>
              </c:layout>
              <c:showLegendKey val="0"/>
              <c:showVal val="1"/>
              <c:showCatName val="0"/>
              <c:showSerName val="0"/>
              <c:showPercent val="0"/>
              <c:showBubbleSize val="0"/>
            </c:dLbl>
            <c:dLbl>
              <c:idx val="1"/>
              <c:layout>
                <c:manualLayout>
                  <c:x val="0.0111111111111111"/>
                  <c:y val="-0.0462962962962963"/>
                </c:manualLayout>
              </c:layout>
              <c:showLegendKey val="0"/>
              <c:showVal val="1"/>
              <c:showCatName val="0"/>
              <c:showSerName val="0"/>
              <c:showPercent val="0"/>
              <c:showBubbleSize val="0"/>
            </c:dLbl>
            <c:dLbl>
              <c:idx val="2"/>
              <c:layout>
                <c:manualLayout>
                  <c:x val="0.025"/>
                  <c:y val="-0.046296296296296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Hoja2!$B$39:$B$41</c:f>
              <c:strCache>
                <c:ptCount val="3"/>
                <c:pt idx="0">
                  <c:v>Veracruz</c:v>
                </c:pt>
                <c:pt idx="1">
                  <c:v>Xalapa</c:v>
                </c:pt>
                <c:pt idx="2">
                  <c:v>Poza Rica</c:v>
                </c:pt>
              </c:strCache>
            </c:strRef>
          </c:cat>
          <c:val>
            <c:numRef>
              <c:f>Hoja2!$C$39:$C$41</c:f>
              <c:numCache>
                <c:formatCode>0</c:formatCode>
                <c:ptCount val="3"/>
                <c:pt idx="0">
                  <c:v>100.0</c:v>
                </c:pt>
                <c:pt idx="1">
                  <c:v>83.33333333333323</c:v>
                </c:pt>
                <c:pt idx="2">
                  <c:v>66.66666666666667</c:v>
                </c:pt>
              </c:numCache>
            </c:numRef>
          </c:val>
        </c:ser>
        <c:dLbls>
          <c:showLegendKey val="0"/>
          <c:showVal val="0"/>
          <c:showCatName val="0"/>
          <c:showSerName val="0"/>
          <c:showPercent val="0"/>
          <c:showBubbleSize val="0"/>
        </c:dLbls>
        <c:gapWidth val="75"/>
        <c:shape val="cylinder"/>
        <c:axId val="-2061324920"/>
        <c:axId val="-2061321976"/>
        <c:axId val="0"/>
      </c:bar3DChart>
      <c:catAx>
        <c:axId val="-2061324920"/>
        <c:scaling>
          <c:orientation val="minMax"/>
        </c:scaling>
        <c:delete val="0"/>
        <c:axPos val="b"/>
        <c:majorTickMark val="none"/>
        <c:minorTickMark val="none"/>
        <c:tickLblPos val="nextTo"/>
        <c:crossAx val="-2061321976"/>
        <c:crosses val="autoZero"/>
        <c:auto val="1"/>
        <c:lblAlgn val="ctr"/>
        <c:lblOffset val="100"/>
        <c:noMultiLvlLbl val="0"/>
      </c:catAx>
      <c:valAx>
        <c:axId val="-2061321976"/>
        <c:scaling>
          <c:orientation val="minMax"/>
        </c:scaling>
        <c:delete val="0"/>
        <c:axPos val="l"/>
        <c:majorGridlines/>
        <c:numFmt formatCode="0" sourceLinked="1"/>
        <c:majorTickMark val="none"/>
        <c:minorTickMark val="none"/>
        <c:tickLblPos val="nextTo"/>
        <c:crossAx val="-20613249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Participación de Academia por Región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Lbls>
            <c:showLegendKey val="0"/>
            <c:showVal val="1"/>
            <c:showCatName val="0"/>
            <c:showSerName val="0"/>
            <c:showPercent val="0"/>
            <c:showBubbleSize val="0"/>
            <c:showLeaderLines val="0"/>
          </c:dLbls>
          <c:cat>
            <c:strRef>
              <c:f>Hoja2!$B$31:$B$37</c:f>
              <c:strCache>
                <c:ptCount val="7"/>
                <c:pt idx="0">
                  <c:v>Salud</c:v>
                </c:pt>
                <c:pt idx="1">
                  <c:v>Educación</c:v>
                </c:pt>
                <c:pt idx="2">
                  <c:v>Organizacional</c:v>
                </c:pt>
                <c:pt idx="3">
                  <c:v>Comunitaria</c:v>
                </c:pt>
                <c:pt idx="4">
                  <c:v>Terminal</c:v>
                </c:pt>
                <c:pt idx="5">
                  <c:v>Iniciacion ala Disc</c:v>
                </c:pt>
                <c:pt idx="6">
                  <c:v>Investigación</c:v>
                </c:pt>
              </c:strCache>
            </c:strRef>
          </c:cat>
          <c:val>
            <c:numRef>
              <c:f>Hoja2!$C$31:$C$37</c:f>
              <c:numCache>
                <c:formatCode>0</c:formatCode>
                <c:ptCount val="7"/>
                <c:pt idx="0">
                  <c:v>100.0</c:v>
                </c:pt>
                <c:pt idx="1">
                  <c:v>100.0</c:v>
                </c:pt>
                <c:pt idx="2">
                  <c:v>100.0</c:v>
                </c:pt>
                <c:pt idx="3">
                  <c:v>100.0</c:v>
                </c:pt>
                <c:pt idx="4">
                  <c:v>66.66666666666667</c:v>
                </c:pt>
                <c:pt idx="5">
                  <c:v>33.33333333333334</c:v>
                </c:pt>
                <c:pt idx="6">
                  <c:v>100.0</c:v>
                </c:pt>
              </c:numCache>
            </c:numRef>
          </c:val>
        </c:ser>
        <c:dLbls>
          <c:showLegendKey val="0"/>
          <c:showVal val="0"/>
          <c:showCatName val="0"/>
          <c:showSerName val="0"/>
          <c:showPercent val="0"/>
          <c:showBubbleSize val="0"/>
        </c:dLbls>
        <c:gapWidth val="150"/>
        <c:shape val="cylinder"/>
        <c:axId val="-2063195016"/>
        <c:axId val="-2063052968"/>
        <c:axId val="0"/>
      </c:bar3DChart>
      <c:catAx>
        <c:axId val="-2063195016"/>
        <c:scaling>
          <c:orientation val="minMax"/>
        </c:scaling>
        <c:delete val="0"/>
        <c:axPos val="b"/>
        <c:majorTickMark val="none"/>
        <c:minorTickMark val="none"/>
        <c:tickLblPos val="nextTo"/>
        <c:crossAx val="-2063052968"/>
        <c:crosses val="autoZero"/>
        <c:auto val="1"/>
        <c:lblAlgn val="ctr"/>
        <c:lblOffset val="100"/>
        <c:noMultiLvlLbl val="0"/>
      </c:catAx>
      <c:valAx>
        <c:axId val="-2063052968"/>
        <c:scaling>
          <c:orientation val="minMax"/>
        </c:scaling>
        <c:delete val="0"/>
        <c:axPos val="l"/>
        <c:majorGridlines/>
        <c:numFmt formatCode="0" sourceLinked="1"/>
        <c:majorTickMark val="none"/>
        <c:minorTickMark val="none"/>
        <c:tickLblPos val="nextTo"/>
        <c:crossAx val="-20631950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Coordinadores de Academia: Sexo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Lbls>
            <c:showLegendKey val="0"/>
            <c:showVal val="0"/>
            <c:showCatName val="0"/>
            <c:showSerName val="0"/>
            <c:showPercent val="1"/>
            <c:showBubbleSize val="0"/>
            <c:showLeaderLines val="1"/>
          </c:dLbls>
          <c:cat>
            <c:strRef>
              <c:f>Hoja2!$B$4:$B$5</c:f>
              <c:strCache>
                <c:ptCount val="2"/>
                <c:pt idx="0">
                  <c:v>Mujer</c:v>
                </c:pt>
                <c:pt idx="1">
                  <c:v>Hombre</c:v>
                </c:pt>
              </c:strCache>
            </c:strRef>
          </c:cat>
          <c:val>
            <c:numRef>
              <c:f>Hoja2!$C$4:$C$5</c:f>
              <c:numCache>
                <c:formatCode>0</c:formatCode>
                <c:ptCount val="2"/>
                <c:pt idx="0">
                  <c:v>50.0</c:v>
                </c:pt>
                <c:pt idx="1">
                  <c:v>50.0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Edad de Cood. de Academia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howLegendKey val="0"/>
            <c:showVal val="1"/>
            <c:showCatName val="0"/>
            <c:showSerName val="0"/>
            <c:showPercent val="0"/>
            <c:showBubbleSize val="0"/>
            <c:showLeaderLines val="0"/>
          </c:dLbls>
          <c:cat>
            <c:strRef>
              <c:f>Hoja2!$B$7:$B$11</c:f>
              <c:strCache>
                <c:ptCount val="5"/>
                <c:pt idx="0">
                  <c:v>35 a 40</c:v>
                </c:pt>
                <c:pt idx="1">
                  <c:v>41 a 46</c:v>
                </c:pt>
                <c:pt idx="2">
                  <c:v>47 a 51</c:v>
                </c:pt>
                <c:pt idx="3">
                  <c:v>52 a 57</c:v>
                </c:pt>
                <c:pt idx="4">
                  <c:v>58 a 63</c:v>
                </c:pt>
              </c:strCache>
            </c:strRef>
          </c:cat>
          <c:val>
            <c:numRef>
              <c:f>Hoja2!$C$7:$C$11</c:f>
              <c:numCache>
                <c:formatCode>0</c:formatCode>
                <c:ptCount val="5"/>
                <c:pt idx="0">
                  <c:v>6.25</c:v>
                </c:pt>
                <c:pt idx="1">
                  <c:v>6.25</c:v>
                </c:pt>
                <c:pt idx="2">
                  <c:v>12.5</c:v>
                </c:pt>
                <c:pt idx="3">
                  <c:v>68.75</c:v>
                </c:pt>
                <c:pt idx="4">
                  <c:v>6.25</c:v>
                </c:pt>
              </c:numCache>
            </c:numRef>
          </c:val>
        </c:ser>
        <c:dLbls>
          <c:showLegendKey val="0"/>
          <c:showVal val="0"/>
          <c:showCatName val="0"/>
          <c:showSerName val="0"/>
          <c:showPercent val="0"/>
          <c:showBubbleSize val="0"/>
        </c:dLbls>
        <c:gapWidth val="150"/>
        <c:shape val="cylinder"/>
        <c:axId val="-2062970632"/>
        <c:axId val="-2062967656"/>
        <c:axId val="0"/>
      </c:bar3DChart>
      <c:catAx>
        <c:axId val="-2062970632"/>
        <c:scaling>
          <c:orientation val="minMax"/>
        </c:scaling>
        <c:delete val="0"/>
        <c:axPos val="b"/>
        <c:majorTickMark val="none"/>
        <c:minorTickMark val="none"/>
        <c:tickLblPos val="nextTo"/>
        <c:crossAx val="-2062967656"/>
        <c:crosses val="autoZero"/>
        <c:auto val="1"/>
        <c:lblAlgn val="ctr"/>
        <c:lblOffset val="100"/>
        <c:noMultiLvlLbl val="0"/>
      </c:catAx>
      <c:valAx>
        <c:axId val="-2062967656"/>
        <c:scaling>
          <c:orientation val="minMax"/>
        </c:scaling>
        <c:delete val="0"/>
        <c:axPos val="l"/>
        <c:majorGridlines/>
        <c:numFmt formatCode="0" sourceLinked="1"/>
        <c:majorTickMark val="none"/>
        <c:minorTickMark val="none"/>
        <c:tickLblPos val="nextTo"/>
        <c:crossAx val="-206297063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Grado Académico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
            <c:invertIfNegative val="0"/>
            <c:bubble3D val="0"/>
          </c:dPt>
          <c:dLbls>
            <c:dLbl>
              <c:idx val="0"/>
              <c:layout>
                <c:manualLayout>
                  <c:x val="0.0147099056041034"/>
                  <c:y val="-0.0618883047672512"/>
                </c:manualLayout>
              </c:layout>
              <c:showLegendKey val="0"/>
              <c:showVal val="1"/>
              <c:showCatName val="0"/>
              <c:showSerName val="0"/>
              <c:showPercent val="0"/>
              <c:showBubbleSize val="0"/>
            </c:dLbl>
            <c:dLbl>
              <c:idx val="1"/>
              <c:layout>
                <c:manualLayout>
                  <c:x val="0.00294204177699323"/>
                  <c:y val="-0.055710306406685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Hoja2!$B$13:$B$14</c:f>
              <c:strCache>
                <c:ptCount val="2"/>
                <c:pt idx="0">
                  <c:v>Maestría</c:v>
                </c:pt>
                <c:pt idx="1">
                  <c:v>Doctorado</c:v>
                </c:pt>
              </c:strCache>
            </c:strRef>
          </c:cat>
          <c:val>
            <c:numRef>
              <c:f>Hoja2!$C$13:$C$14</c:f>
              <c:numCache>
                <c:formatCode>0</c:formatCode>
                <c:ptCount val="2"/>
                <c:pt idx="0">
                  <c:v>50.0</c:v>
                </c:pt>
                <c:pt idx="1">
                  <c:v>50.0</c:v>
                </c:pt>
              </c:numCache>
            </c:numRef>
          </c:val>
        </c:ser>
        <c:dLbls>
          <c:showLegendKey val="0"/>
          <c:showVal val="0"/>
          <c:showCatName val="0"/>
          <c:showSerName val="0"/>
          <c:showPercent val="0"/>
          <c:showBubbleSize val="0"/>
        </c:dLbls>
        <c:gapWidth val="75"/>
        <c:shape val="cylinder"/>
        <c:axId val="-2063166216"/>
        <c:axId val="-2063163240"/>
        <c:axId val="0"/>
      </c:bar3DChart>
      <c:catAx>
        <c:axId val="-2063166216"/>
        <c:scaling>
          <c:orientation val="minMax"/>
        </c:scaling>
        <c:delete val="0"/>
        <c:axPos val="b"/>
        <c:majorTickMark val="none"/>
        <c:minorTickMark val="none"/>
        <c:tickLblPos val="nextTo"/>
        <c:crossAx val="-2063163240"/>
        <c:crosses val="autoZero"/>
        <c:auto val="1"/>
        <c:lblAlgn val="ctr"/>
        <c:lblOffset val="100"/>
        <c:noMultiLvlLbl val="0"/>
      </c:catAx>
      <c:valAx>
        <c:axId val="-2063163240"/>
        <c:scaling>
          <c:orientation val="minMax"/>
        </c:scaling>
        <c:delete val="0"/>
        <c:axPos val="l"/>
        <c:majorGridlines/>
        <c:numFmt formatCode="0" sourceLinked="1"/>
        <c:majorTickMark val="none"/>
        <c:minorTickMark val="none"/>
        <c:tickLblPos val="nextTo"/>
        <c:crossAx val="-206316621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Tiempo en el Cargo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Hoja2!$B$22:$B$26</c:f>
              <c:strCache>
                <c:ptCount val="5"/>
                <c:pt idx="0">
                  <c:v>1 a 7 años </c:v>
                </c:pt>
                <c:pt idx="1">
                  <c:v>8 a 15 años</c:v>
                </c:pt>
                <c:pt idx="2">
                  <c:v>16 a 22 años</c:v>
                </c:pt>
                <c:pt idx="3">
                  <c:v>23 a 29 años</c:v>
                </c:pt>
                <c:pt idx="4">
                  <c:v>¿?</c:v>
                </c:pt>
              </c:strCache>
            </c:strRef>
          </c:cat>
          <c:val>
            <c:numRef>
              <c:f>Hoja2!$C$22:$C$26</c:f>
              <c:numCache>
                <c:formatCode>0</c:formatCode>
                <c:ptCount val="5"/>
                <c:pt idx="0">
                  <c:v>56.25</c:v>
                </c:pt>
                <c:pt idx="1">
                  <c:v>18.75</c:v>
                </c:pt>
                <c:pt idx="2">
                  <c:v>6.25</c:v>
                </c:pt>
                <c:pt idx="3">
                  <c:v>12.5</c:v>
                </c:pt>
                <c:pt idx="4">
                  <c:v>6.25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Antigüedad</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showLegendKey val="0"/>
            <c:showVal val="1"/>
            <c:showCatName val="0"/>
            <c:showSerName val="0"/>
            <c:showPercent val="0"/>
            <c:showBubbleSize val="0"/>
            <c:showLeaderLines val="0"/>
          </c:dLbls>
          <c:cat>
            <c:strRef>
              <c:f>Hoja2!$B$16:$B$20</c:f>
              <c:strCache>
                <c:ptCount val="5"/>
                <c:pt idx="0">
                  <c:v>11 a 15</c:v>
                </c:pt>
                <c:pt idx="1">
                  <c:v>16 a 20</c:v>
                </c:pt>
                <c:pt idx="2">
                  <c:v>21 a 25</c:v>
                </c:pt>
                <c:pt idx="3">
                  <c:v>26 a 30</c:v>
                </c:pt>
                <c:pt idx="4">
                  <c:v>31 a 35</c:v>
                </c:pt>
              </c:strCache>
            </c:strRef>
          </c:cat>
          <c:val>
            <c:numRef>
              <c:f>Hoja2!$C$16:$C$20</c:f>
              <c:numCache>
                <c:formatCode>0</c:formatCode>
                <c:ptCount val="5"/>
                <c:pt idx="0">
                  <c:v>25.0</c:v>
                </c:pt>
                <c:pt idx="1">
                  <c:v>12.5</c:v>
                </c:pt>
                <c:pt idx="2">
                  <c:v>12.5</c:v>
                </c:pt>
                <c:pt idx="3">
                  <c:v>37.5</c:v>
                </c:pt>
                <c:pt idx="4">
                  <c:v>12.5</c:v>
                </c:pt>
              </c:numCache>
            </c:numRef>
          </c:val>
        </c:ser>
        <c:dLbls>
          <c:showLegendKey val="0"/>
          <c:showVal val="0"/>
          <c:showCatName val="0"/>
          <c:showSerName val="0"/>
          <c:showPercent val="0"/>
          <c:showBubbleSize val="0"/>
        </c:dLbls>
        <c:gapWidth val="150"/>
        <c:shape val="cylinder"/>
        <c:axId val="-2063137272"/>
        <c:axId val="-2063134296"/>
        <c:axId val="0"/>
      </c:bar3DChart>
      <c:catAx>
        <c:axId val="-2063137272"/>
        <c:scaling>
          <c:orientation val="minMax"/>
        </c:scaling>
        <c:delete val="0"/>
        <c:axPos val="l"/>
        <c:majorTickMark val="none"/>
        <c:minorTickMark val="none"/>
        <c:tickLblPos val="nextTo"/>
        <c:crossAx val="-2063134296"/>
        <c:crosses val="autoZero"/>
        <c:auto val="1"/>
        <c:lblAlgn val="ctr"/>
        <c:lblOffset val="100"/>
        <c:noMultiLvlLbl val="0"/>
      </c:catAx>
      <c:valAx>
        <c:axId val="-2063134296"/>
        <c:scaling>
          <c:orientation val="minMax"/>
        </c:scaling>
        <c:delete val="0"/>
        <c:axPos val="b"/>
        <c:majorGridlines/>
        <c:numFmt formatCode="0" sourceLinked="1"/>
        <c:majorTickMark val="none"/>
        <c:minorTickMark val="none"/>
        <c:tickLblPos val="nextTo"/>
        <c:crossAx val="-20631372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s-MX"/>
              <a:t>Tipo de Contratación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Lbls>
            <c:showLegendKey val="0"/>
            <c:showVal val="0"/>
            <c:showCatName val="0"/>
            <c:showSerName val="0"/>
            <c:showPercent val="1"/>
            <c:showBubbleSize val="0"/>
            <c:showLeaderLines val="1"/>
          </c:dLbls>
          <c:cat>
            <c:strRef>
              <c:f>Hoja2!$B$28:$B$29</c:f>
              <c:strCache>
                <c:ptCount val="2"/>
                <c:pt idx="0">
                  <c:v>PTC</c:v>
                </c:pt>
                <c:pt idx="1">
                  <c:v>IPP</c:v>
                </c:pt>
              </c:strCache>
            </c:strRef>
          </c:cat>
          <c:val>
            <c:numRef>
              <c:f>Hoja2!$C$28:$C$29</c:f>
              <c:numCache>
                <c:formatCode>0</c:formatCode>
                <c:ptCount val="2"/>
                <c:pt idx="0">
                  <c:v>68.75</c:v>
                </c:pt>
                <c:pt idx="1">
                  <c:v>31.25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6402</Characters>
  <Application>Microsoft Macintosh Word</Application>
  <DocSecurity>0</DocSecurity>
  <Lines>53</Lines>
  <Paragraphs>15</Paragraphs>
  <ScaleCrop>false</ScaleCrop>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Figueroa</dc:creator>
  <cp:keywords/>
  <dc:description/>
  <cp:lastModifiedBy>Lizette Figueroa</cp:lastModifiedBy>
  <cp:revision>1</cp:revision>
  <dcterms:created xsi:type="dcterms:W3CDTF">2014-10-22T06:35:00Z</dcterms:created>
  <dcterms:modified xsi:type="dcterms:W3CDTF">2014-10-22T06:36:00Z</dcterms:modified>
</cp:coreProperties>
</file>