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47E62" w:rsidRDefault="00247E62" w:rsidP="00247E62">
      <w:pPr>
        <w:jc w:val="center"/>
        <w:rPr>
          <w:b/>
          <w:bCs/>
          <w:color w:val="000000" w:themeColor="text1"/>
        </w:rPr>
      </w:pPr>
      <w:r w:rsidRPr="00AD794B">
        <w:rPr>
          <w:b/>
          <w:bCs/>
          <w:color w:val="000000" w:themeColor="text1"/>
        </w:rPr>
        <w:t>MODOS DE TITULACIÓN, FACULTAD DE INGENIERÍA ELÉCTRICA Y ELECTRÓNICA</w:t>
      </w:r>
    </w:p>
    <w:p w:rsidR="00247E62" w:rsidRPr="00BF0824" w:rsidRDefault="00247E62" w:rsidP="00247E62">
      <w:pPr>
        <w:jc w:val="both"/>
        <w:rPr>
          <w:color w:val="000000" w:themeColor="text1"/>
        </w:rPr>
      </w:pPr>
      <w:r>
        <w:rPr>
          <w:color w:val="000000" w:themeColor="text1"/>
        </w:rPr>
        <w:t xml:space="preserve">Con el objetivo de llevar un proceso adecuado (en tiempo y forma), para obtener el título de Ingeniero, el estudiante de ingeniería de los últimos semestres (con más del 70 % de créditos aprobados) deberá iniciar a considerar las diferentes modalidades de titulación que se ofrecen en la Universidad Veracruzana. </w:t>
      </w:r>
    </w:p>
    <w:p w:rsidR="00247E62" w:rsidRPr="00366F08" w:rsidRDefault="00247E62" w:rsidP="00247E62">
      <w:pPr>
        <w:jc w:val="both"/>
        <w:rPr>
          <w:color w:val="000000" w:themeColor="text1"/>
          <w:u w:val="single"/>
        </w:rPr>
      </w:pPr>
      <w:r w:rsidRPr="00AD794B">
        <w:rPr>
          <w:color w:val="000000" w:themeColor="text1"/>
        </w:rPr>
        <w:t>Las modalidades de titulación se establecen claramente en el artículo 87 del estatuto de alumnos de la Universidad veracruzana</w:t>
      </w:r>
      <w:r w:rsidRPr="00247E62">
        <w:rPr>
          <w:color w:val="000000" w:themeColor="text1"/>
        </w:rPr>
        <w:t xml:space="preserve"> </w:t>
      </w:r>
      <w:r>
        <w:rPr>
          <w:color w:val="000000" w:themeColor="text1"/>
        </w:rPr>
        <w:t>(</w:t>
      </w:r>
      <w:r w:rsidRPr="00247E62">
        <w:rPr>
          <w:color w:val="000000" w:themeColor="text1"/>
        </w:rPr>
        <w:t>uv.mx/</w:t>
      </w:r>
      <w:proofErr w:type="spellStart"/>
      <w:r w:rsidRPr="00247E62">
        <w:rPr>
          <w:color w:val="000000" w:themeColor="text1"/>
        </w:rPr>
        <w:t>legislacion</w:t>
      </w:r>
      <w:proofErr w:type="spellEnd"/>
      <w:r w:rsidRPr="00247E62">
        <w:rPr>
          <w:color w:val="000000" w:themeColor="text1"/>
        </w:rPr>
        <w:t>/files/2012/12/estatutodelosalumnos2008.pdf</w:t>
      </w:r>
      <w:r>
        <w:rPr>
          <w:color w:val="000000" w:themeColor="text1"/>
        </w:rPr>
        <w:t xml:space="preserve">): </w:t>
      </w:r>
      <w:r w:rsidRPr="00247E62">
        <w:rPr>
          <w:color w:val="000000" w:themeColor="text1"/>
        </w:rPr>
        <w:t xml:space="preserve"> </w:t>
      </w:r>
      <w:r>
        <w:rPr>
          <w:color w:val="000000" w:themeColor="text1"/>
        </w:rPr>
        <w:t xml:space="preserve"> </w:t>
      </w:r>
    </w:p>
    <w:p w:rsidR="00247E62" w:rsidRPr="00BF0824" w:rsidRDefault="00247E62" w:rsidP="00247E62">
      <w:pPr>
        <w:jc w:val="both"/>
        <w:rPr>
          <w:i/>
          <w:iCs/>
        </w:rPr>
      </w:pPr>
      <w:r w:rsidRPr="00BF0824">
        <w:rPr>
          <w:i/>
          <w:iCs/>
        </w:rPr>
        <w:t xml:space="preserve">Artículo 87. Los alumnos que cursen planes de estudio rígidos pueden optar por las siguientes modalidades de titulación: </w:t>
      </w:r>
    </w:p>
    <w:p w:rsidR="00247E62" w:rsidRPr="00BF0824" w:rsidRDefault="00247E62" w:rsidP="00247E62">
      <w:pPr>
        <w:pStyle w:val="Prrafodelista"/>
        <w:numPr>
          <w:ilvl w:val="0"/>
          <w:numId w:val="1"/>
        </w:numPr>
        <w:jc w:val="both"/>
        <w:rPr>
          <w:i/>
          <w:iCs/>
        </w:rPr>
      </w:pPr>
      <w:r w:rsidRPr="00BF0824">
        <w:rPr>
          <w:i/>
          <w:iCs/>
        </w:rPr>
        <w:t xml:space="preserve">Por </w:t>
      </w:r>
      <w:r w:rsidRPr="00BF0824">
        <w:rPr>
          <w:b/>
          <w:bCs/>
          <w:i/>
          <w:iCs/>
        </w:rPr>
        <w:t xml:space="preserve">trabajo </w:t>
      </w:r>
      <w:proofErr w:type="spellStart"/>
      <w:r w:rsidRPr="00BF0824">
        <w:rPr>
          <w:b/>
          <w:bCs/>
          <w:i/>
          <w:iCs/>
        </w:rPr>
        <w:t>recepcional</w:t>
      </w:r>
      <w:proofErr w:type="spellEnd"/>
      <w:r w:rsidRPr="00BF0824">
        <w:rPr>
          <w:i/>
          <w:iCs/>
        </w:rPr>
        <w:t xml:space="preserve"> escrito presentado en formato electrónico, bajo la modalidad de tesis, tesina, monografía, reporte o memoria; </w:t>
      </w:r>
    </w:p>
    <w:p w:rsidR="00247E62" w:rsidRPr="00BF0824" w:rsidRDefault="00247E62" w:rsidP="00247E62">
      <w:pPr>
        <w:pStyle w:val="Prrafodelista"/>
        <w:numPr>
          <w:ilvl w:val="0"/>
          <w:numId w:val="1"/>
        </w:numPr>
        <w:jc w:val="both"/>
        <w:rPr>
          <w:i/>
          <w:iCs/>
          <w:color w:val="000000" w:themeColor="text1"/>
        </w:rPr>
      </w:pPr>
      <w:r w:rsidRPr="00BF0824">
        <w:rPr>
          <w:i/>
          <w:iCs/>
        </w:rPr>
        <w:t xml:space="preserve">Por </w:t>
      </w:r>
      <w:r w:rsidRPr="00BF0824">
        <w:rPr>
          <w:b/>
          <w:bCs/>
          <w:i/>
          <w:iCs/>
        </w:rPr>
        <w:t>trabajo práctico</w:t>
      </w:r>
      <w:r w:rsidRPr="00BF0824">
        <w:rPr>
          <w:i/>
          <w:iCs/>
        </w:rPr>
        <w:t xml:space="preserve">, que puede ser de tipo científico, educativo, artístico o técnico; </w:t>
      </w:r>
    </w:p>
    <w:p w:rsidR="00247E62" w:rsidRPr="00BF0824" w:rsidRDefault="00247E62" w:rsidP="00247E62">
      <w:pPr>
        <w:pStyle w:val="Prrafodelista"/>
        <w:numPr>
          <w:ilvl w:val="0"/>
          <w:numId w:val="1"/>
        </w:numPr>
        <w:jc w:val="both"/>
        <w:rPr>
          <w:i/>
          <w:iCs/>
          <w:color w:val="000000" w:themeColor="text1"/>
        </w:rPr>
      </w:pPr>
      <w:r w:rsidRPr="00BF0824">
        <w:rPr>
          <w:i/>
          <w:iCs/>
        </w:rPr>
        <w:t xml:space="preserve">Por </w:t>
      </w:r>
      <w:r w:rsidRPr="00BF0824">
        <w:rPr>
          <w:b/>
          <w:bCs/>
          <w:i/>
          <w:iCs/>
        </w:rPr>
        <w:t>promedio</w:t>
      </w:r>
      <w:r w:rsidRPr="00BF0824">
        <w:rPr>
          <w:i/>
          <w:iCs/>
        </w:rPr>
        <w:t xml:space="preserve">; </w:t>
      </w:r>
    </w:p>
    <w:p w:rsidR="00247E62" w:rsidRPr="00BF0824" w:rsidRDefault="00247E62" w:rsidP="00247E62">
      <w:pPr>
        <w:pStyle w:val="Prrafodelista"/>
        <w:numPr>
          <w:ilvl w:val="0"/>
          <w:numId w:val="1"/>
        </w:numPr>
        <w:jc w:val="both"/>
        <w:rPr>
          <w:i/>
          <w:iCs/>
          <w:color w:val="000000" w:themeColor="text1"/>
        </w:rPr>
      </w:pPr>
      <w:r w:rsidRPr="00BF0824">
        <w:rPr>
          <w:i/>
          <w:iCs/>
        </w:rPr>
        <w:t xml:space="preserve">Por </w:t>
      </w:r>
      <w:r w:rsidRPr="00BF0824">
        <w:rPr>
          <w:b/>
          <w:bCs/>
          <w:i/>
          <w:iCs/>
        </w:rPr>
        <w:t>estudios de posgrado</w:t>
      </w:r>
      <w:r w:rsidRPr="00BF0824">
        <w:rPr>
          <w:i/>
          <w:iCs/>
        </w:rPr>
        <w:t xml:space="preserve">; </w:t>
      </w:r>
    </w:p>
    <w:p w:rsidR="00247E62" w:rsidRPr="00BF0824" w:rsidRDefault="00247E62" w:rsidP="00247E62">
      <w:pPr>
        <w:pStyle w:val="Prrafodelista"/>
        <w:numPr>
          <w:ilvl w:val="0"/>
          <w:numId w:val="1"/>
        </w:numPr>
        <w:jc w:val="both"/>
        <w:rPr>
          <w:i/>
          <w:iCs/>
          <w:color w:val="000000" w:themeColor="text1"/>
        </w:rPr>
      </w:pPr>
      <w:r w:rsidRPr="00BF0824">
        <w:rPr>
          <w:i/>
          <w:iCs/>
        </w:rPr>
        <w:t xml:space="preserve">Por </w:t>
      </w:r>
      <w:r w:rsidRPr="00BF0824">
        <w:rPr>
          <w:b/>
          <w:bCs/>
          <w:i/>
          <w:iCs/>
        </w:rPr>
        <w:t>examen general de conocimientos</w:t>
      </w:r>
      <w:r w:rsidRPr="00BF0824">
        <w:rPr>
          <w:i/>
          <w:iCs/>
        </w:rPr>
        <w:t>; y</w:t>
      </w:r>
    </w:p>
    <w:p w:rsidR="00247E62" w:rsidRPr="00BF0824" w:rsidRDefault="00247E62" w:rsidP="00247E62">
      <w:pPr>
        <w:pStyle w:val="Prrafodelista"/>
        <w:numPr>
          <w:ilvl w:val="0"/>
          <w:numId w:val="1"/>
        </w:numPr>
        <w:jc w:val="both"/>
        <w:rPr>
          <w:i/>
          <w:iCs/>
          <w:color w:val="000000" w:themeColor="text1"/>
        </w:rPr>
      </w:pPr>
      <w:r w:rsidRPr="00BF0824">
        <w:rPr>
          <w:i/>
          <w:iCs/>
        </w:rPr>
        <w:t xml:space="preserve">Por </w:t>
      </w:r>
      <w:r w:rsidRPr="00BF0824">
        <w:rPr>
          <w:b/>
          <w:bCs/>
          <w:i/>
          <w:iCs/>
        </w:rPr>
        <w:t>examen general para el egreso del Ceneval</w:t>
      </w:r>
      <w:r w:rsidRPr="00BF0824">
        <w:rPr>
          <w:i/>
          <w:iCs/>
        </w:rPr>
        <w:t xml:space="preserve">. </w:t>
      </w:r>
    </w:p>
    <w:p w:rsidR="00247E62" w:rsidRDefault="00247E62" w:rsidP="00247E62">
      <w:pPr>
        <w:jc w:val="both"/>
        <w:rPr>
          <w:i/>
          <w:iCs/>
        </w:rPr>
      </w:pPr>
      <w:r w:rsidRPr="00BF0824">
        <w:rPr>
          <w:i/>
          <w:iCs/>
        </w:rPr>
        <w:t>Las modalidades previstas en las fracciones I y II pueden cubrirse de manera individual o colectiva.</w:t>
      </w:r>
    </w:p>
    <w:p w:rsidR="00247E62" w:rsidRDefault="00247E62" w:rsidP="00247E62">
      <w:pPr>
        <w:jc w:val="both"/>
      </w:pPr>
      <w:r>
        <w:t xml:space="preserve">Los detalles de las modalidades de </w:t>
      </w:r>
      <w:proofErr w:type="spellStart"/>
      <w:r>
        <w:t>tutulación</w:t>
      </w:r>
      <w:proofErr w:type="spellEnd"/>
      <w:r>
        <w:t xml:space="preserve"> se establecen en los artículos 89 a 94 del mismo estatuto y se presentan aquí:</w:t>
      </w:r>
    </w:p>
    <w:p w:rsidR="00247E62" w:rsidRPr="008B7F72" w:rsidRDefault="00247E62" w:rsidP="00247E62">
      <w:pPr>
        <w:jc w:val="both"/>
        <w:rPr>
          <w:b/>
          <w:bCs/>
          <w:i/>
          <w:iCs/>
        </w:rPr>
      </w:pPr>
      <w:r w:rsidRPr="008B7F72">
        <w:rPr>
          <w:b/>
          <w:bCs/>
          <w:i/>
          <w:iCs/>
        </w:rPr>
        <w:t xml:space="preserve">SECCIÓN PRIMERA DE LOS TRABAJOS RECEPCIONALES ESCRITOS Y PRÁCTICOS </w:t>
      </w:r>
    </w:p>
    <w:p w:rsidR="00247E62" w:rsidRPr="00665EF2" w:rsidRDefault="00247E62" w:rsidP="00247E62">
      <w:pPr>
        <w:jc w:val="both"/>
        <w:rPr>
          <w:i/>
          <w:iCs/>
        </w:rPr>
      </w:pPr>
      <w:r w:rsidRPr="00665EF2">
        <w:rPr>
          <w:i/>
          <w:iCs/>
        </w:rPr>
        <w:t xml:space="preserve">Artículo 89. La Junta Académica de cada entidad académica establecerá las características del trabajo </w:t>
      </w:r>
      <w:proofErr w:type="spellStart"/>
      <w:r w:rsidRPr="00665EF2">
        <w:rPr>
          <w:i/>
          <w:iCs/>
        </w:rPr>
        <w:t>recepcional</w:t>
      </w:r>
      <w:proofErr w:type="spellEnd"/>
      <w:r w:rsidRPr="00665EF2">
        <w:rPr>
          <w:i/>
          <w:iCs/>
        </w:rPr>
        <w:t xml:space="preserve"> escrito presentado en formato electrónico y del práctico, así como las modalidades y los contenidos del examen general de conocimientos. Estos trabajos pueden realizarse de manera individual o colectiva. </w:t>
      </w:r>
    </w:p>
    <w:p w:rsidR="00247E62" w:rsidRPr="008B7F72" w:rsidRDefault="00247E62" w:rsidP="00247E62">
      <w:pPr>
        <w:jc w:val="both"/>
        <w:rPr>
          <w:b/>
          <w:bCs/>
          <w:i/>
          <w:iCs/>
        </w:rPr>
      </w:pPr>
      <w:r w:rsidRPr="008B7F72">
        <w:rPr>
          <w:b/>
          <w:bCs/>
          <w:i/>
          <w:iCs/>
        </w:rPr>
        <w:t xml:space="preserve">SECCIÓN SEGUNDA POR PROMEDIO </w:t>
      </w:r>
    </w:p>
    <w:p w:rsidR="00247E62" w:rsidRPr="00665EF2" w:rsidRDefault="00247E62" w:rsidP="00247E62">
      <w:pPr>
        <w:jc w:val="both"/>
        <w:rPr>
          <w:i/>
          <w:iCs/>
        </w:rPr>
      </w:pPr>
      <w:r w:rsidRPr="00665EF2">
        <w:rPr>
          <w:i/>
          <w:iCs/>
        </w:rPr>
        <w:t xml:space="preserve">Artículo 90. Los alumnos o egresados de planes de estudio rígidos podrán obtener su título sin necesidad de presentar examen profesional cuando hayan acreditado todas las experiencias educativas establecidas en el plan de estudios correspondiente con promedio mínimo de 9.00 en evaluación ordinaria y en primera inscripción. </w:t>
      </w:r>
    </w:p>
    <w:p w:rsidR="00247E62" w:rsidRDefault="00247E62" w:rsidP="00247E62">
      <w:pPr>
        <w:jc w:val="center"/>
        <w:rPr>
          <w:b/>
          <w:bCs/>
          <w:color w:val="000000" w:themeColor="text1"/>
        </w:rPr>
      </w:pPr>
      <w:r w:rsidRPr="00AD794B">
        <w:rPr>
          <w:b/>
          <w:bCs/>
          <w:color w:val="000000" w:themeColor="text1"/>
        </w:rPr>
        <w:t>MODOS DE TITULACIÓN, FACULTAD DE INGENIERÍA ELÉCTRICA Y ELECTRÓNICA</w:t>
      </w:r>
    </w:p>
    <w:p w:rsidR="00247E62" w:rsidRPr="00BF0824" w:rsidRDefault="00247E62" w:rsidP="00247E62">
      <w:pPr>
        <w:jc w:val="both"/>
        <w:rPr>
          <w:color w:val="000000" w:themeColor="text1"/>
        </w:rPr>
      </w:pPr>
      <w:r>
        <w:rPr>
          <w:color w:val="000000" w:themeColor="text1"/>
        </w:rPr>
        <w:t xml:space="preserve">Con el objetivo de llevar un proceso adecuado (en tiempo y forma), para obtener el título de Ingeniero, el estudiante de ingeniería de los últimos semestres (con más del 70 % de créditos aprobados) deberá iniciar a considerar las diferentes modalidades de titulación que se ofrecen en la Universidad Veracruzana. </w:t>
      </w:r>
    </w:p>
    <w:p w:rsidR="00247E62" w:rsidRPr="00AD794B" w:rsidRDefault="00247E62" w:rsidP="00247E62">
      <w:pPr>
        <w:jc w:val="both"/>
        <w:rPr>
          <w:color w:val="000000" w:themeColor="text1"/>
        </w:rPr>
      </w:pPr>
      <w:r w:rsidRPr="00AD794B">
        <w:rPr>
          <w:color w:val="000000" w:themeColor="text1"/>
        </w:rPr>
        <w:t>Las modalidades de titulación se establecen claramente en el artículo 87 del estatuto de alumnos de la Universidad veracruzana:</w:t>
      </w:r>
    </w:p>
    <w:p w:rsidR="00247E62" w:rsidRPr="00BF0824" w:rsidRDefault="00247E62" w:rsidP="00247E62">
      <w:pPr>
        <w:jc w:val="both"/>
        <w:rPr>
          <w:i/>
          <w:iCs/>
        </w:rPr>
      </w:pPr>
      <w:r w:rsidRPr="00BF0824">
        <w:rPr>
          <w:i/>
          <w:iCs/>
        </w:rPr>
        <w:lastRenderedPageBreak/>
        <w:t xml:space="preserve">Artículo 87. Los alumnos que cursen planes de estudio rígidos pueden optar por las siguientes modalidades de titulación: </w:t>
      </w:r>
    </w:p>
    <w:p w:rsidR="00247E62" w:rsidRPr="00BF0824" w:rsidRDefault="00247E62" w:rsidP="00247E62">
      <w:pPr>
        <w:pStyle w:val="Prrafodelista"/>
        <w:numPr>
          <w:ilvl w:val="0"/>
          <w:numId w:val="2"/>
        </w:numPr>
        <w:jc w:val="both"/>
        <w:rPr>
          <w:i/>
          <w:iCs/>
        </w:rPr>
      </w:pPr>
      <w:r w:rsidRPr="00BF0824">
        <w:rPr>
          <w:i/>
          <w:iCs/>
        </w:rPr>
        <w:t xml:space="preserve">Por </w:t>
      </w:r>
      <w:r w:rsidRPr="00BF0824">
        <w:rPr>
          <w:b/>
          <w:bCs/>
          <w:i/>
          <w:iCs/>
        </w:rPr>
        <w:t xml:space="preserve">trabajo </w:t>
      </w:r>
      <w:proofErr w:type="spellStart"/>
      <w:r w:rsidRPr="00BF0824">
        <w:rPr>
          <w:b/>
          <w:bCs/>
          <w:i/>
          <w:iCs/>
        </w:rPr>
        <w:t>recepcional</w:t>
      </w:r>
      <w:proofErr w:type="spellEnd"/>
      <w:r w:rsidRPr="00BF0824">
        <w:rPr>
          <w:i/>
          <w:iCs/>
        </w:rPr>
        <w:t xml:space="preserve"> escrito presentado en formato electrónico, bajo la modalidad de tesis, tesina, monografía, reporte o memoria; </w:t>
      </w:r>
    </w:p>
    <w:p w:rsidR="00247E62" w:rsidRPr="00BF0824" w:rsidRDefault="00247E62" w:rsidP="00247E62">
      <w:pPr>
        <w:pStyle w:val="Prrafodelista"/>
        <w:numPr>
          <w:ilvl w:val="0"/>
          <w:numId w:val="2"/>
        </w:numPr>
        <w:jc w:val="both"/>
        <w:rPr>
          <w:i/>
          <w:iCs/>
          <w:color w:val="000000" w:themeColor="text1"/>
        </w:rPr>
      </w:pPr>
      <w:r w:rsidRPr="00BF0824">
        <w:rPr>
          <w:i/>
          <w:iCs/>
        </w:rPr>
        <w:t xml:space="preserve">Por </w:t>
      </w:r>
      <w:r w:rsidRPr="00BF0824">
        <w:rPr>
          <w:b/>
          <w:bCs/>
          <w:i/>
          <w:iCs/>
        </w:rPr>
        <w:t>trabajo práctico</w:t>
      </w:r>
      <w:r w:rsidRPr="00BF0824">
        <w:rPr>
          <w:i/>
          <w:iCs/>
        </w:rPr>
        <w:t xml:space="preserve">, que puede ser de tipo científico, educativo, artístico o técnico; </w:t>
      </w:r>
    </w:p>
    <w:p w:rsidR="00247E62" w:rsidRPr="00BF0824" w:rsidRDefault="00247E62" w:rsidP="00247E62">
      <w:pPr>
        <w:pStyle w:val="Prrafodelista"/>
        <w:numPr>
          <w:ilvl w:val="0"/>
          <w:numId w:val="2"/>
        </w:numPr>
        <w:jc w:val="both"/>
        <w:rPr>
          <w:i/>
          <w:iCs/>
          <w:color w:val="000000" w:themeColor="text1"/>
        </w:rPr>
      </w:pPr>
      <w:r w:rsidRPr="00BF0824">
        <w:rPr>
          <w:i/>
          <w:iCs/>
        </w:rPr>
        <w:t xml:space="preserve">Por </w:t>
      </w:r>
      <w:r w:rsidRPr="00BF0824">
        <w:rPr>
          <w:b/>
          <w:bCs/>
          <w:i/>
          <w:iCs/>
        </w:rPr>
        <w:t>promedio</w:t>
      </w:r>
      <w:r w:rsidRPr="00BF0824">
        <w:rPr>
          <w:i/>
          <w:iCs/>
        </w:rPr>
        <w:t xml:space="preserve">; </w:t>
      </w:r>
    </w:p>
    <w:p w:rsidR="00247E62" w:rsidRPr="00BF0824" w:rsidRDefault="00247E62" w:rsidP="00247E62">
      <w:pPr>
        <w:pStyle w:val="Prrafodelista"/>
        <w:numPr>
          <w:ilvl w:val="0"/>
          <w:numId w:val="2"/>
        </w:numPr>
        <w:jc w:val="both"/>
        <w:rPr>
          <w:i/>
          <w:iCs/>
          <w:color w:val="000000" w:themeColor="text1"/>
        </w:rPr>
      </w:pPr>
      <w:r w:rsidRPr="00BF0824">
        <w:rPr>
          <w:i/>
          <w:iCs/>
        </w:rPr>
        <w:t xml:space="preserve">Por </w:t>
      </w:r>
      <w:r w:rsidRPr="00BF0824">
        <w:rPr>
          <w:b/>
          <w:bCs/>
          <w:i/>
          <w:iCs/>
        </w:rPr>
        <w:t>estudios de posgrado</w:t>
      </w:r>
      <w:r w:rsidRPr="00BF0824">
        <w:rPr>
          <w:i/>
          <w:iCs/>
        </w:rPr>
        <w:t xml:space="preserve">; </w:t>
      </w:r>
    </w:p>
    <w:p w:rsidR="00247E62" w:rsidRPr="00BF0824" w:rsidRDefault="00247E62" w:rsidP="00247E62">
      <w:pPr>
        <w:pStyle w:val="Prrafodelista"/>
        <w:numPr>
          <w:ilvl w:val="0"/>
          <w:numId w:val="2"/>
        </w:numPr>
        <w:jc w:val="both"/>
        <w:rPr>
          <w:i/>
          <w:iCs/>
          <w:color w:val="000000" w:themeColor="text1"/>
        </w:rPr>
      </w:pPr>
      <w:r w:rsidRPr="00BF0824">
        <w:rPr>
          <w:i/>
          <w:iCs/>
        </w:rPr>
        <w:t xml:space="preserve">Por </w:t>
      </w:r>
      <w:r w:rsidRPr="00BF0824">
        <w:rPr>
          <w:b/>
          <w:bCs/>
          <w:i/>
          <w:iCs/>
        </w:rPr>
        <w:t>examen general de conocimientos</w:t>
      </w:r>
      <w:r w:rsidRPr="00BF0824">
        <w:rPr>
          <w:i/>
          <w:iCs/>
        </w:rPr>
        <w:t>; y</w:t>
      </w:r>
    </w:p>
    <w:p w:rsidR="00247E62" w:rsidRPr="00BF0824" w:rsidRDefault="00247E62" w:rsidP="00247E62">
      <w:pPr>
        <w:pStyle w:val="Prrafodelista"/>
        <w:numPr>
          <w:ilvl w:val="0"/>
          <w:numId w:val="2"/>
        </w:numPr>
        <w:jc w:val="both"/>
        <w:rPr>
          <w:i/>
          <w:iCs/>
          <w:color w:val="000000" w:themeColor="text1"/>
        </w:rPr>
      </w:pPr>
      <w:r w:rsidRPr="00BF0824">
        <w:rPr>
          <w:i/>
          <w:iCs/>
        </w:rPr>
        <w:t xml:space="preserve">Por </w:t>
      </w:r>
      <w:r w:rsidRPr="00BF0824">
        <w:rPr>
          <w:b/>
          <w:bCs/>
          <w:i/>
          <w:iCs/>
        </w:rPr>
        <w:t>examen general para el egreso del Ceneval</w:t>
      </w:r>
      <w:r w:rsidRPr="00BF0824">
        <w:rPr>
          <w:i/>
          <w:iCs/>
        </w:rPr>
        <w:t xml:space="preserve">. </w:t>
      </w:r>
    </w:p>
    <w:p w:rsidR="00247E62" w:rsidRDefault="00247E62" w:rsidP="00247E62">
      <w:pPr>
        <w:jc w:val="both"/>
        <w:rPr>
          <w:i/>
          <w:iCs/>
        </w:rPr>
      </w:pPr>
      <w:r w:rsidRPr="00BF0824">
        <w:rPr>
          <w:i/>
          <w:iCs/>
        </w:rPr>
        <w:t>Las modalidades previstas en las fracciones I y II pueden cubrirse de manera individual o colectiva.</w:t>
      </w:r>
    </w:p>
    <w:p w:rsidR="00247E62" w:rsidRDefault="00247E62" w:rsidP="00247E62">
      <w:pPr>
        <w:jc w:val="both"/>
      </w:pPr>
      <w:r>
        <w:t xml:space="preserve">Los detalles de las modalidades de </w:t>
      </w:r>
      <w:proofErr w:type="spellStart"/>
      <w:r>
        <w:t>tutulación</w:t>
      </w:r>
      <w:proofErr w:type="spellEnd"/>
      <w:r>
        <w:t xml:space="preserve"> se establecen en los artículos 89 a 94 del mismo estatuto y se presentan aquí:</w:t>
      </w:r>
    </w:p>
    <w:p w:rsidR="00247E62" w:rsidRPr="008B7F72" w:rsidRDefault="00247E62" w:rsidP="00247E62">
      <w:pPr>
        <w:jc w:val="both"/>
        <w:rPr>
          <w:b/>
          <w:bCs/>
          <w:i/>
          <w:iCs/>
        </w:rPr>
      </w:pPr>
      <w:r w:rsidRPr="008B7F72">
        <w:rPr>
          <w:b/>
          <w:bCs/>
          <w:i/>
          <w:iCs/>
        </w:rPr>
        <w:t xml:space="preserve">SECCIÓN PRIMERA DE LOS TRABAJOS RECEPCIONALES ESCRITOS Y PRÁCTICOS </w:t>
      </w:r>
    </w:p>
    <w:p w:rsidR="00247E62" w:rsidRPr="00665EF2" w:rsidRDefault="00247E62" w:rsidP="00247E62">
      <w:pPr>
        <w:jc w:val="both"/>
        <w:rPr>
          <w:i/>
          <w:iCs/>
        </w:rPr>
      </w:pPr>
      <w:r w:rsidRPr="00665EF2">
        <w:rPr>
          <w:i/>
          <w:iCs/>
        </w:rPr>
        <w:t xml:space="preserve">Artículo 89. La Junta Académica de cada entidad académica establecerá las características del trabajo </w:t>
      </w:r>
      <w:proofErr w:type="spellStart"/>
      <w:r w:rsidRPr="00665EF2">
        <w:rPr>
          <w:i/>
          <w:iCs/>
        </w:rPr>
        <w:t>recepcional</w:t>
      </w:r>
      <w:proofErr w:type="spellEnd"/>
      <w:r w:rsidRPr="00665EF2">
        <w:rPr>
          <w:i/>
          <w:iCs/>
        </w:rPr>
        <w:t xml:space="preserve"> escrito presentado en formato electrónico y del práctico, así como las modalidades y los contenidos del examen general de conocimientos. Estos trabajos pueden realizarse de manera individual o colectiva. </w:t>
      </w:r>
    </w:p>
    <w:p w:rsidR="00247E62" w:rsidRPr="008B7F72" w:rsidRDefault="00247E62" w:rsidP="00247E62">
      <w:pPr>
        <w:jc w:val="both"/>
        <w:rPr>
          <w:b/>
          <w:bCs/>
          <w:i/>
          <w:iCs/>
        </w:rPr>
      </w:pPr>
      <w:r w:rsidRPr="008B7F72">
        <w:rPr>
          <w:b/>
          <w:bCs/>
          <w:i/>
          <w:iCs/>
        </w:rPr>
        <w:t xml:space="preserve">SECCIÓN SEGUNDA POR PROMEDIO </w:t>
      </w:r>
    </w:p>
    <w:p w:rsidR="00247E62" w:rsidRPr="007D0DD6" w:rsidRDefault="00247E62" w:rsidP="00247E62">
      <w:pPr>
        <w:jc w:val="both"/>
        <w:rPr>
          <w:i/>
          <w:iCs/>
        </w:rPr>
      </w:pPr>
      <w:r w:rsidRPr="00665EF2">
        <w:rPr>
          <w:i/>
          <w:iCs/>
        </w:rPr>
        <w:t xml:space="preserve">Artículo 90. Los alumnos o egresados de planes de estudio rígidos podrán obtener su título sin necesidad de presentar examen profesional cuando hayan acreditado todas las experiencias educativas establecidas en el plan de estudios correspondiente con promedio mínimo de 9.00 en evaluación ordinaria y en primera inscripción. </w:t>
      </w:r>
    </w:p>
    <w:p w:rsidR="00247E62" w:rsidRPr="008B7F72" w:rsidRDefault="00247E62" w:rsidP="00247E62">
      <w:pPr>
        <w:jc w:val="both"/>
        <w:rPr>
          <w:b/>
          <w:bCs/>
          <w:i/>
          <w:iCs/>
        </w:rPr>
      </w:pPr>
      <w:r w:rsidRPr="008B7F72">
        <w:rPr>
          <w:b/>
          <w:bCs/>
          <w:i/>
          <w:iCs/>
        </w:rPr>
        <w:t xml:space="preserve">SECCIÓN TERCERA POR ESTUDIOS DE POSGRADO </w:t>
      </w:r>
    </w:p>
    <w:p w:rsidR="00247E62" w:rsidRPr="00665EF2" w:rsidRDefault="00247E62" w:rsidP="00247E62">
      <w:pPr>
        <w:jc w:val="both"/>
        <w:rPr>
          <w:i/>
          <w:iCs/>
        </w:rPr>
      </w:pPr>
      <w:r w:rsidRPr="00665EF2">
        <w:rPr>
          <w:i/>
          <w:iCs/>
        </w:rPr>
        <w:t xml:space="preserve">Artículo 91. Los pasantes o egresados de planes de estudio rígidos de licenciatura podrán obtener su título por estudios de posgrado cuando hayan acreditado sesenta o más créditos en cursos de especialización a nivel de posgrado, así como cuando cubran el 50% o más de los créditos de un programa de maestría o su equivalente en doctorado. Lo anterior aplicará para las maestrías o doctorados que imparte la Universidad Veracruzana, siempre y cuando no sean programas educativos orientados hacia la investigación o programas registrados en el Programa Nacional de Posgrado de Calidad. El aspirante deberá solicitar ante el Consejo Técnico de la entidad un dictamen y la aprobación del programa de posgrado que pretende cursar con la finalidad de determinar su validez para efectos de titulación. </w:t>
      </w:r>
    </w:p>
    <w:p w:rsidR="00247E62" w:rsidRPr="008B7F72" w:rsidRDefault="00247E62" w:rsidP="00247E62">
      <w:pPr>
        <w:jc w:val="both"/>
        <w:rPr>
          <w:b/>
          <w:bCs/>
          <w:i/>
          <w:iCs/>
        </w:rPr>
      </w:pPr>
      <w:r w:rsidRPr="008B7F72">
        <w:rPr>
          <w:b/>
          <w:bCs/>
          <w:i/>
          <w:iCs/>
        </w:rPr>
        <w:t xml:space="preserve">SECCIÓN CUARTA DEL EXAMEN GENERAL DE CONOCIMIENTOS </w:t>
      </w:r>
    </w:p>
    <w:p w:rsidR="00247E62" w:rsidRPr="00665EF2" w:rsidRDefault="00247E62" w:rsidP="00247E62">
      <w:pPr>
        <w:jc w:val="both"/>
        <w:rPr>
          <w:i/>
          <w:iCs/>
        </w:rPr>
      </w:pPr>
      <w:r w:rsidRPr="00665EF2">
        <w:rPr>
          <w:i/>
          <w:iCs/>
        </w:rPr>
        <w:t xml:space="preserve">Artículo 92. Los alumnos o egresados de planes de estudio rígidos podrán presentar el examen general de conocimientos como modalidad de titulación. En caso de no aprobarlo, pueden presentarlo de nuevo en un plazo no mayor de seis meses, o bien optar por otra de las modalidades de titulación previstas en este Estatuto. Artículo 93. Los alumnos de planes de estudio flexibles podrán acreditar la experiencia </w:t>
      </w:r>
      <w:proofErr w:type="spellStart"/>
      <w:r w:rsidRPr="00665EF2">
        <w:rPr>
          <w:i/>
          <w:iCs/>
        </w:rPr>
        <w:t>recepcional</w:t>
      </w:r>
      <w:proofErr w:type="spellEnd"/>
      <w:r w:rsidRPr="00665EF2">
        <w:rPr>
          <w:i/>
          <w:iCs/>
        </w:rPr>
        <w:t xml:space="preserve"> mediante la presentación del examen general de </w:t>
      </w:r>
      <w:r w:rsidRPr="00665EF2">
        <w:rPr>
          <w:i/>
          <w:iCs/>
        </w:rPr>
        <w:lastRenderedPageBreak/>
        <w:t xml:space="preserve">conocimientos. En caso de no acreditarla, pueden cursarla en segunda inscripción bajo la misma opción, o en otra de las previstas en el artículo 78 de este Estatuto. El </w:t>
      </w:r>
      <w:proofErr w:type="gramStart"/>
      <w:r w:rsidRPr="00665EF2">
        <w:rPr>
          <w:i/>
          <w:iCs/>
        </w:rPr>
        <w:t>Secretario</w:t>
      </w:r>
      <w:proofErr w:type="gramEnd"/>
      <w:r w:rsidRPr="00665EF2">
        <w:rPr>
          <w:i/>
          <w:iCs/>
        </w:rPr>
        <w:t xml:space="preserve"> de la Facultad asentará la calificación obtenida. </w:t>
      </w:r>
    </w:p>
    <w:p w:rsidR="00247E62" w:rsidRPr="008B7F72" w:rsidRDefault="00247E62" w:rsidP="00247E62">
      <w:pPr>
        <w:jc w:val="both"/>
        <w:rPr>
          <w:b/>
          <w:bCs/>
          <w:i/>
          <w:iCs/>
        </w:rPr>
      </w:pPr>
      <w:r w:rsidRPr="008B7F72">
        <w:rPr>
          <w:b/>
          <w:bCs/>
          <w:i/>
          <w:iCs/>
        </w:rPr>
        <w:t xml:space="preserve">SECCIÓN QUINTA DEL EXAMEN GENERAL PARA EL EGRESO </w:t>
      </w:r>
    </w:p>
    <w:p w:rsidR="00247E62" w:rsidRPr="00665EF2" w:rsidRDefault="00247E62" w:rsidP="00247E62">
      <w:pPr>
        <w:jc w:val="both"/>
        <w:rPr>
          <w:i/>
          <w:iCs/>
        </w:rPr>
      </w:pPr>
      <w:r w:rsidRPr="00665EF2">
        <w:rPr>
          <w:i/>
          <w:iCs/>
        </w:rPr>
        <w:t xml:space="preserve">Artículo 94. Los alumnos o egresados de planes de estudio rígidos podrán presentar el examen general para el egreso del Ceneval, debiendo obtener 1 000 o más puntos del Índice Ceneval Global, en una sola presentación, u obtener el testimonio de Desempeño Satisfactorio o Sobresaliente, como modalidad de titulación. En caso de no obtener la puntuación o el testimonio establecido, establecida podrán presentarlo una vez más, o bien optar por otra de las modalidades de titulación previstas en este Estatuto. </w:t>
      </w:r>
    </w:p>
    <w:p w:rsidR="00247E62" w:rsidRPr="008B7F72" w:rsidRDefault="00247E62" w:rsidP="00247E62">
      <w:pPr>
        <w:jc w:val="both"/>
        <w:rPr>
          <w:b/>
          <w:bCs/>
          <w:i/>
          <w:iCs/>
        </w:rPr>
      </w:pPr>
      <w:r w:rsidRPr="008B7F72">
        <w:rPr>
          <w:b/>
          <w:bCs/>
          <w:i/>
          <w:iCs/>
        </w:rPr>
        <w:t>CAPÍTULO IV DEL EXAMEN PROFESIONAL Y DE GRADO</w:t>
      </w:r>
    </w:p>
    <w:p w:rsidR="00247E62" w:rsidRPr="007D0DD6" w:rsidRDefault="00247E62" w:rsidP="007D0DD6">
      <w:pPr>
        <w:jc w:val="both"/>
        <w:rPr>
          <w:i/>
          <w:iCs/>
        </w:rPr>
      </w:pPr>
      <w:r w:rsidRPr="00665EF2">
        <w:rPr>
          <w:i/>
          <w:iCs/>
        </w:rPr>
        <w:t xml:space="preserve">Artículo 95. Para los alumnos que cursen planes de estudio rígidos la titulación bajo la modalidad de trabajos </w:t>
      </w:r>
      <w:proofErr w:type="spellStart"/>
      <w:r w:rsidRPr="00665EF2">
        <w:rPr>
          <w:i/>
          <w:iCs/>
        </w:rPr>
        <w:t>recepcionales</w:t>
      </w:r>
      <w:proofErr w:type="spellEnd"/>
      <w:r w:rsidRPr="00665EF2">
        <w:rPr>
          <w:i/>
          <w:iCs/>
        </w:rPr>
        <w:t xml:space="preserve"> escritos y prácticos requiere la presentación y aprobación del examen profesional o de grado.</w:t>
      </w:r>
    </w:p>
    <w:p w:rsidR="00247E62" w:rsidRDefault="00247E62" w:rsidP="00247E62">
      <w:pPr>
        <w:jc w:val="both"/>
      </w:pPr>
      <w:r>
        <w:t>Los detalles del proceso que ha de llevarse en cada modalidad de titulación pueden consultarse con el coordinador de programa de estudios o con el secretario académico de la FIEE:</w:t>
      </w:r>
    </w:p>
    <w:tbl>
      <w:tblPr>
        <w:tblW w:w="9390" w:type="dxa"/>
        <w:tblBorders>
          <w:top w:val="single" w:sz="6" w:space="0" w:color="CCCCCC"/>
          <w:left w:val="single" w:sz="6" w:space="0" w:color="CCCCCC"/>
          <w:bottom w:val="single" w:sz="6" w:space="0" w:color="CCCCCC"/>
          <w:right w:val="single" w:sz="6" w:space="0" w:color="CCCCCC"/>
        </w:tblBorders>
        <w:shd w:val="clear" w:color="auto" w:fill="FEFEFE"/>
        <w:tblCellMar>
          <w:top w:w="70" w:type="dxa"/>
          <w:left w:w="70" w:type="dxa"/>
          <w:bottom w:w="70" w:type="dxa"/>
          <w:right w:w="70" w:type="dxa"/>
        </w:tblCellMar>
        <w:tblLook w:val="04A0" w:firstRow="1" w:lastRow="0" w:firstColumn="1" w:lastColumn="0" w:noHBand="0" w:noVBand="1"/>
      </w:tblPr>
      <w:tblGrid>
        <w:gridCol w:w="5385"/>
        <w:gridCol w:w="4005"/>
      </w:tblGrid>
      <w:tr w:rsidR="00247E62" w:rsidRPr="008B7F72" w:rsidTr="0020733A">
        <w:trPr>
          <w:trHeight w:val="343"/>
        </w:trPr>
        <w:tc>
          <w:tcPr>
            <w:tcW w:w="5385" w:type="dxa"/>
            <w:tcBorders>
              <w:top w:val="single" w:sz="6" w:space="0" w:color="CCCCCC"/>
              <w:left w:val="single" w:sz="6" w:space="0" w:color="CCCCCC"/>
              <w:bottom w:val="single" w:sz="6" w:space="0" w:color="CCCCCC"/>
              <w:right w:val="single" w:sz="6" w:space="0" w:color="CCCCCC"/>
            </w:tcBorders>
            <w:shd w:val="clear" w:color="auto" w:fill="F8F9FA"/>
            <w:vAlign w:val="center"/>
            <w:hideMark/>
          </w:tcPr>
          <w:p w:rsidR="00247E62" w:rsidRPr="008B7F72" w:rsidRDefault="00247E62" w:rsidP="0020733A">
            <w:pPr>
              <w:jc w:val="center"/>
              <w:rPr>
                <w:rFonts w:cstheme="minorHAnsi"/>
                <w:color w:val="212529"/>
                <w:spacing w:val="-3"/>
              </w:rPr>
            </w:pPr>
            <w:r w:rsidRPr="008B7F72">
              <w:rPr>
                <w:rFonts w:cstheme="minorHAnsi"/>
                <w:color w:val="212529"/>
                <w:spacing w:val="-3"/>
              </w:rPr>
              <w:t>M.C. Mario Herrera Cortés</w:t>
            </w:r>
          </w:p>
        </w:tc>
        <w:tc>
          <w:tcPr>
            <w:tcW w:w="4005" w:type="dxa"/>
            <w:vMerge w:val="restart"/>
            <w:tcBorders>
              <w:top w:val="single" w:sz="6" w:space="0" w:color="CCCCCC"/>
              <w:left w:val="single" w:sz="6" w:space="0" w:color="CCCCCC"/>
              <w:bottom w:val="single" w:sz="6" w:space="0" w:color="CCCCCC"/>
              <w:right w:val="single" w:sz="6" w:space="0" w:color="CCCCCC"/>
            </w:tcBorders>
            <w:shd w:val="clear" w:color="auto" w:fill="F8F9FA"/>
            <w:vAlign w:val="center"/>
            <w:hideMark/>
          </w:tcPr>
          <w:p w:rsidR="00247E62" w:rsidRPr="008B7F72" w:rsidRDefault="00247E62" w:rsidP="0020733A">
            <w:pPr>
              <w:jc w:val="center"/>
              <w:rPr>
                <w:rFonts w:cstheme="minorHAnsi"/>
                <w:color w:val="212529"/>
                <w:spacing w:val="-3"/>
              </w:rPr>
            </w:pPr>
            <w:hyperlink r:id="rId7" w:history="1">
              <w:r w:rsidRPr="008B7F72">
                <w:rPr>
                  <w:rStyle w:val="Hipervnculo"/>
                  <w:rFonts w:cstheme="minorHAnsi"/>
                  <w:color w:val="2196F3"/>
                  <w:spacing w:val="-3"/>
                </w:rPr>
                <w:t>mherrera@uv.mx</w:t>
              </w:r>
            </w:hyperlink>
          </w:p>
        </w:tc>
      </w:tr>
      <w:tr w:rsidR="00247E62" w:rsidRPr="008B7F72" w:rsidTr="0020733A">
        <w:trPr>
          <w:trHeight w:val="451"/>
        </w:trPr>
        <w:tc>
          <w:tcPr>
            <w:tcW w:w="5385" w:type="dxa"/>
            <w:tcBorders>
              <w:top w:val="single" w:sz="6" w:space="0" w:color="CCCCCC"/>
              <w:left w:val="single" w:sz="6" w:space="0" w:color="CCCCCC"/>
              <w:bottom w:val="single" w:sz="6" w:space="0" w:color="CCCCCC"/>
              <w:right w:val="single" w:sz="6" w:space="0" w:color="CCCCCC"/>
            </w:tcBorders>
            <w:shd w:val="clear" w:color="auto" w:fill="F8F9FA"/>
            <w:vAlign w:val="center"/>
            <w:hideMark/>
          </w:tcPr>
          <w:p w:rsidR="00247E62" w:rsidRPr="008B7F72" w:rsidRDefault="00247E62" w:rsidP="0020733A">
            <w:pPr>
              <w:jc w:val="center"/>
              <w:rPr>
                <w:rFonts w:cstheme="minorHAnsi"/>
                <w:color w:val="212529"/>
                <w:spacing w:val="-3"/>
              </w:rPr>
            </w:pPr>
            <w:r w:rsidRPr="008B7F72">
              <w:rPr>
                <w:rStyle w:val="Textoennegrita"/>
                <w:rFonts w:cstheme="minorHAnsi"/>
                <w:color w:val="212529"/>
                <w:spacing w:val="-3"/>
              </w:rPr>
              <w:t>Secretario de la Facultad</w:t>
            </w:r>
          </w:p>
        </w:tc>
        <w:tc>
          <w:tcPr>
            <w:tcW w:w="0" w:type="auto"/>
            <w:vMerge/>
            <w:tcBorders>
              <w:top w:val="single" w:sz="6" w:space="0" w:color="CCCCCC"/>
              <w:left w:val="single" w:sz="6" w:space="0" w:color="CCCCCC"/>
              <w:bottom w:val="single" w:sz="6" w:space="0" w:color="CCCCCC"/>
              <w:right w:val="single" w:sz="6" w:space="0" w:color="CCCCCC"/>
            </w:tcBorders>
            <w:shd w:val="clear" w:color="auto" w:fill="FEFEFE"/>
            <w:vAlign w:val="center"/>
            <w:hideMark/>
          </w:tcPr>
          <w:p w:rsidR="00247E62" w:rsidRPr="008B7F72" w:rsidRDefault="00247E62" w:rsidP="0020733A">
            <w:pPr>
              <w:rPr>
                <w:rFonts w:cstheme="minorHAnsi"/>
                <w:color w:val="212529"/>
                <w:spacing w:val="-3"/>
                <w:sz w:val="24"/>
                <w:szCs w:val="24"/>
              </w:rPr>
            </w:pPr>
          </w:p>
        </w:tc>
      </w:tr>
      <w:tr w:rsidR="00247E62" w:rsidRPr="008B7F72" w:rsidTr="0020733A">
        <w:trPr>
          <w:trHeight w:val="379"/>
        </w:trPr>
        <w:tc>
          <w:tcPr>
            <w:tcW w:w="5385" w:type="dxa"/>
            <w:tcBorders>
              <w:top w:val="single" w:sz="6" w:space="0" w:color="CCCCCC"/>
              <w:left w:val="single" w:sz="6" w:space="0" w:color="CCCCCC"/>
              <w:bottom w:val="single" w:sz="6" w:space="0" w:color="CCCCCC"/>
              <w:right w:val="single" w:sz="6" w:space="0" w:color="CCCCCC"/>
            </w:tcBorders>
            <w:shd w:val="clear" w:color="auto" w:fill="F8F9FA"/>
            <w:vAlign w:val="center"/>
            <w:hideMark/>
          </w:tcPr>
          <w:p w:rsidR="00247E62" w:rsidRPr="008B7F72" w:rsidRDefault="00247E62" w:rsidP="0020733A">
            <w:pPr>
              <w:jc w:val="center"/>
              <w:rPr>
                <w:rFonts w:cstheme="minorHAnsi"/>
                <w:color w:val="212529"/>
                <w:spacing w:val="-3"/>
              </w:rPr>
            </w:pPr>
            <w:r w:rsidRPr="008B7F72">
              <w:rPr>
                <w:rFonts w:cstheme="minorHAnsi"/>
                <w:color w:val="212529"/>
                <w:spacing w:val="-3"/>
              </w:rPr>
              <w:t xml:space="preserve">M.I. Héctor </w:t>
            </w:r>
            <w:proofErr w:type="spellStart"/>
            <w:r w:rsidRPr="008B7F72">
              <w:rPr>
                <w:rFonts w:cstheme="minorHAnsi"/>
                <w:color w:val="212529"/>
                <w:spacing w:val="-3"/>
              </w:rPr>
              <w:t>Sadot</w:t>
            </w:r>
            <w:proofErr w:type="spellEnd"/>
            <w:r w:rsidRPr="008B7F72">
              <w:rPr>
                <w:rFonts w:cstheme="minorHAnsi"/>
                <w:color w:val="212529"/>
                <w:spacing w:val="-3"/>
              </w:rPr>
              <w:t xml:space="preserve"> Del Ángel Zumaya</w:t>
            </w:r>
          </w:p>
        </w:tc>
        <w:tc>
          <w:tcPr>
            <w:tcW w:w="4005" w:type="dxa"/>
            <w:vMerge w:val="restart"/>
            <w:tcBorders>
              <w:top w:val="single" w:sz="6" w:space="0" w:color="CCCCCC"/>
              <w:left w:val="single" w:sz="6" w:space="0" w:color="CCCCCC"/>
              <w:bottom w:val="single" w:sz="6" w:space="0" w:color="CCCCCC"/>
              <w:right w:val="single" w:sz="6" w:space="0" w:color="CCCCCC"/>
            </w:tcBorders>
            <w:shd w:val="clear" w:color="auto" w:fill="F8F9FA"/>
            <w:vAlign w:val="center"/>
            <w:hideMark/>
          </w:tcPr>
          <w:p w:rsidR="00247E62" w:rsidRPr="008B7F72" w:rsidRDefault="00247E62" w:rsidP="0020733A">
            <w:pPr>
              <w:jc w:val="center"/>
              <w:rPr>
                <w:rFonts w:cstheme="minorHAnsi"/>
                <w:color w:val="212529"/>
                <w:spacing w:val="-3"/>
              </w:rPr>
            </w:pPr>
            <w:hyperlink r:id="rId8" w:history="1">
              <w:r w:rsidRPr="008B7F72">
                <w:rPr>
                  <w:rStyle w:val="Hipervnculo"/>
                  <w:rFonts w:cstheme="minorHAnsi"/>
                  <w:color w:val="2196F3"/>
                  <w:spacing w:val="-3"/>
                </w:rPr>
                <w:t>hedelangel@uv.mx</w:t>
              </w:r>
            </w:hyperlink>
          </w:p>
        </w:tc>
      </w:tr>
      <w:tr w:rsidR="00247E62" w:rsidRPr="008B7F72" w:rsidTr="0020733A">
        <w:trPr>
          <w:trHeight w:val="445"/>
        </w:trPr>
        <w:tc>
          <w:tcPr>
            <w:tcW w:w="5385" w:type="dxa"/>
            <w:tcBorders>
              <w:top w:val="single" w:sz="6" w:space="0" w:color="CCCCCC"/>
              <w:left w:val="single" w:sz="6" w:space="0" w:color="CCCCCC"/>
              <w:bottom w:val="single" w:sz="6" w:space="0" w:color="CCCCCC"/>
              <w:right w:val="single" w:sz="6" w:space="0" w:color="CCCCCC"/>
            </w:tcBorders>
            <w:shd w:val="clear" w:color="auto" w:fill="F8F9FA"/>
            <w:vAlign w:val="center"/>
            <w:hideMark/>
          </w:tcPr>
          <w:p w:rsidR="00247E62" w:rsidRPr="008B7F72" w:rsidRDefault="00247E62" w:rsidP="0020733A">
            <w:pPr>
              <w:jc w:val="center"/>
              <w:rPr>
                <w:rFonts w:cstheme="minorHAnsi"/>
                <w:color w:val="212529"/>
                <w:spacing w:val="-3"/>
              </w:rPr>
            </w:pPr>
            <w:r w:rsidRPr="008B7F72">
              <w:rPr>
                <w:rStyle w:val="Textoennegrita"/>
                <w:rFonts w:cstheme="minorHAnsi"/>
                <w:color w:val="212529"/>
                <w:spacing w:val="-3"/>
              </w:rPr>
              <w:t>Coordinador del P.E. Ingeniería Eléctrica</w:t>
            </w:r>
          </w:p>
        </w:tc>
        <w:tc>
          <w:tcPr>
            <w:tcW w:w="0" w:type="auto"/>
            <w:vMerge/>
            <w:tcBorders>
              <w:top w:val="single" w:sz="6" w:space="0" w:color="CCCCCC"/>
              <w:left w:val="single" w:sz="6" w:space="0" w:color="CCCCCC"/>
              <w:bottom w:val="single" w:sz="6" w:space="0" w:color="CCCCCC"/>
              <w:right w:val="single" w:sz="6" w:space="0" w:color="CCCCCC"/>
            </w:tcBorders>
            <w:shd w:val="clear" w:color="auto" w:fill="FEFEFE"/>
            <w:vAlign w:val="center"/>
            <w:hideMark/>
          </w:tcPr>
          <w:p w:rsidR="00247E62" w:rsidRPr="008B7F72" w:rsidRDefault="00247E62" w:rsidP="0020733A">
            <w:pPr>
              <w:rPr>
                <w:rFonts w:cstheme="minorHAnsi"/>
                <w:color w:val="212529"/>
                <w:spacing w:val="-3"/>
                <w:sz w:val="24"/>
                <w:szCs w:val="24"/>
              </w:rPr>
            </w:pPr>
          </w:p>
        </w:tc>
      </w:tr>
      <w:tr w:rsidR="00247E62" w:rsidRPr="008B7F72" w:rsidTr="0020733A">
        <w:trPr>
          <w:trHeight w:val="495"/>
        </w:trPr>
        <w:tc>
          <w:tcPr>
            <w:tcW w:w="5385" w:type="dxa"/>
            <w:tcBorders>
              <w:top w:val="single" w:sz="6" w:space="0" w:color="CCCCCC"/>
              <w:left w:val="single" w:sz="6" w:space="0" w:color="CCCCCC"/>
              <w:bottom w:val="single" w:sz="6" w:space="0" w:color="CCCCCC"/>
              <w:right w:val="single" w:sz="6" w:space="0" w:color="CCCCCC"/>
            </w:tcBorders>
            <w:shd w:val="clear" w:color="auto" w:fill="F8F9FA"/>
            <w:vAlign w:val="center"/>
            <w:hideMark/>
          </w:tcPr>
          <w:p w:rsidR="00247E62" w:rsidRPr="008B7F72" w:rsidRDefault="00247E62" w:rsidP="0020733A">
            <w:pPr>
              <w:jc w:val="center"/>
              <w:rPr>
                <w:rFonts w:cstheme="minorHAnsi"/>
                <w:color w:val="212529"/>
                <w:spacing w:val="-3"/>
              </w:rPr>
            </w:pPr>
            <w:r w:rsidRPr="008B7F72">
              <w:rPr>
                <w:rFonts w:cstheme="minorHAnsi"/>
                <w:color w:val="212529"/>
                <w:spacing w:val="-3"/>
              </w:rPr>
              <w:t>M.I. Aldo Avendaño Ramírez</w:t>
            </w:r>
          </w:p>
        </w:tc>
        <w:tc>
          <w:tcPr>
            <w:tcW w:w="4005" w:type="dxa"/>
            <w:vMerge w:val="restart"/>
            <w:tcBorders>
              <w:top w:val="single" w:sz="6" w:space="0" w:color="CCCCCC"/>
              <w:left w:val="single" w:sz="6" w:space="0" w:color="CCCCCC"/>
              <w:bottom w:val="single" w:sz="6" w:space="0" w:color="CCCCCC"/>
              <w:right w:val="single" w:sz="6" w:space="0" w:color="CCCCCC"/>
            </w:tcBorders>
            <w:shd w:val="clear" w:color="auto" w:fill="F8F9FA"/>
            <w:vAlign w:val="center"/>
            <w:hideMark/>
          </w:tcPr>
          <w:p w:rsidR="00247E62" w:rsidRPr="008B7F72" w:rsidRDefault="00247E62" w:rsidP="0020733A">
            <w:pPr>
              <w:jc w:val="center"/>
              <w:rPr>
                <w:rFonts w:cstheme="minorHAnsi"/>
                <w:color w:val="212529"/>
                <w:spacing w:val="-3"/>
              </w:rPr>
            </w:pPr>
            <w:hyperlink r:id="rId9" w:history="1">
              <w:r w:rsidRPr="008B7F72">
                <w:rPr>
                  <w:rStyle w:val="Hipervnculo"/>
                  <w:rFonts w:cstheme="minorHAnsi"/>
                  <w:color w:val="2196F3"/>
                  <w:spacing w:val="-3"/>
                </w:rPr>
                <w:t>aavendano@uv.mx</w:t>
              </w:r>
            </w:hyperlink>
          </w:p>
        </w:tc>
      </w:tr>
      <w:tr w:rsidR="00247E62" w:rsidRPr="008B7F72" w:rsidTr="0020733A">
        <w:trPr>
          <w:trHeight w:val="670"/>
        </w:trPr>
        <w:tc>
          <w:tcPr>
            <w:tcW w:w="5385" w:type="dxa"/>
            <w:tcBorders>
              <w:top w:val="single" w:sz="6" w:space="0" w:color="CCCCCC"/>
              <w:left w:val="single" w:sz="6" w:space="0" w:color="CCCCCC"/>
              <w:bottom w:val="single" w:sz="6" w:space="0" w:color="CCCCCC"/>
              <w:right w:val="single" w:sz="6" w:space="0" w:color="CCCCCC"/>
            </w:tcBorders>
            <w:shd w:val="clear" w:color="auto" w:fill="F8F9FA"/>
            <w:vAlign w:val="center"/>
            <w:hideMark/>
          </w:tcPr>
          <w:p w:rsidR="00247E62" w:rsidRPr="008B7F72" w:rsidRDefault="00247E62" w:rsidP="0020733A">
            <w:pPr>
              <w:jc w:val="center"/>
              <w:rPr>
                <w:rFonts w:cstheme="minorHAnsi"/>
                <w:color w:val="212529"/>
                <w:spacing w:val="-3"/>
              </w:rPr>
            </w:pPr>
            <w:r w:rsidRPr="008B7F72">
              <w:rPr>
                <w:rStyle w:val="Textoennegrita"/>
                <w:rFonts w:cstheme="minorHAnsi"/>
                <w:color w:val="212529"/>
                <w:spacing w:val="-3"/>
              </w:rPr>
              <w:t xml:space="preserve">Coordinador del P.E. Ingeniería Electrónica </w:t>
            </w:r>
            <w:proofErr w:type="gramStart"/>
            <w:r w:rsidRPr="008B7F72">
              <w:rPr>
                <w:rStyle w:val="Textoennegrita"/>
                <w:rFonts w:cstheme="minorHAnsi"/>
                <w:color w:val="212529"/>
                <w:spacing w:val="-3"/>
              </w:rPr>
              <w:t>y  Comunicaciones</w:t>
            </w:r>
            <w:proofErr w:type="gramEnd"/>
          </w:p>
        </w:tc>
        <w:tc>
          <w:tcPr>
            <w:tcW w:w="0" w:type="auto"/>
            <w:vMerge/>
            <w:tcBorders>
              <w:top w:val="single" w:sz="6" w:space="0" w:color="CCCCCC"/>
              <w:left w:val="single" w:sz="6" w:space="0" w:color="CCCCCC"/>
              <w:bottom w:val="single" w:sz="6" w:space="0" w:color="CCCCCC"/>
              <w:right w:val="single" w:sz="6" w:space="0" w:color="CCCCCC"/>
            </w:tcBorders>
            <w:shd w:val="clear" w:color="auto" w:fill="FEFEFE"/>
            <w:vAlign w:val="center"/>
            <w:hideMark/>
          </w:tcPr>
          <w:p w:rsidR="00247E62" w:rsidRPr="008B7F72" w:rsidRDefault="00247E62" w:rsidP="0020733A">
            <w:pPr>
              <w:rPr>
                <w:rFonts w:cstheme="minorHAnsi"/>
                <w:color w:val="212529"/>
                <w:spacing w:val="-3"/>
                <w:sz w:val="24"/>
                <w:szCs w:val="24"/>
              </w:rPr>
            </w:pPr>
          </w:p>
        </w:tc>
      </w:tr>
      <w:tr w:rsidR="00247E62" w:rsidRPr="008B7F72" w:rsidTr="0020733A">
        <w:trPr>
          <w:trHeight w:val="377"/>
        </w:trPr>
        <w:tc>
          <w:tcPr>
            <w:tcW w:w="5385" w:type="dxa"/>
            <w:tcBorders>
              <w:top w:val="single" w:sz="6" w:space="0" w:color="CCCCCC"/>
              <w:left w:val="single" w:sz="6" w:space="0" w:color="CCCCCC"/>
              <w:bottom w:val="single" w:sz="6" w:space="0" w:color="CCCCCC"/>
              <w:right w:val="single" w:sz="6" w:space="0" w:color="CCCCCC"/>
            </w:tcBorders>
            <w:shd w:val="clear" w:color="auto" w:fill="F8F9FA"/>
            <w:vAlign w:val="center"/>
            <w:hideMark/>
          </w:tcPr>
          <w:p w:rsidR="00247E62" w:rsidRPr="008B7F72" w:rsidRDefault="00247E62" w:rsidP="0020733A">
            <w:pPr>
              <w:jc w:val="center"/>
              <w:rPr>
                <w:rFonts w:cstheme="minorHAnsi"/>
                <w:color w:val="212529"/>
                <w:spacing w:val="-3"/>
              </w:rPr>
            </w:pPr>
            <w:r w:rsidRPr="008B7F72">
              <w:rPr>
                <w:rFonts w:cstheme="minorHAnsi"/>
                <w:color w:val="212529"/>
                <w:spacing w:val="-3"/>
              </w:rPr>
              <w:t>M.R.T. Diana Ivette Montejo Arroyo</w:t>
            </w:r>
          </w:p>
        </w:tc>
        <w:tc>
          <w:tcPr>
            <w:tcW w:w="4005" w:type="dxa"/>
            <w:vMerge w:val="restart"/>
            <w:tcBorders>
              <w:top w:val="single" w:sz="6" w:space="0" w:color="CCCCCC"/>
              <w:left w:val="single" w:sz="6" w:space="0" w:color="CCCCCC"/>
              <w:bottom w:val="single" w:sz="6" w:space="0" w:color="CCCCCC"/>
              <w:right w:val="single" w:sz="6" w:space="0" w:color="CCCCCC"/>
            </w:tcBorders>
            <w:shd w:val="clear" w:color="auto" w:fill="F8F9FA"/>
            <w:vAlign w:val="center"/>
            <w:hideMark/>
          </w:tcPr>
          <w:p w:rsidR="00247E62" w:rsidRPr="008B7F72" w:rsidRDefault="00247E62" w:rsidP="0020733A">
            <w:pPr>
              <w:jc w:val="center"/>
              <w:rPr>
                <w:rFonts w:cstheme="minorHAnsi"/>
                <w:color w:val="212529"/>
                <w:spacing w:val="-3"/>
              </w:rPr>
            </w:pPr>
            <w:hyperlink r:id="rId10" w:history="1">
              <w:r w:rsidRPr="008B7F72">
                <w:rPr>
                  <w:rStyle w:val="Hipervnculo"/>
                  <w:rFonts w:cstheme="minorHAnsi"/>
                  <w:color w:val="2196F3"/>
                  <w:spacing w:val="-3"/>
                </w:rPr>
                <w:t>dmontejo@uv.mx</w:t>
              </w:r>
            </w:hyperlink>
          </w:p>
        </w:tc>
      </w:tr>
      <w:tr w:rsidR="00247E62" w:rsidRPr="008B7F72" w:rsidTr="0020733A">
        <w:trPr>
          <w:trHeight w:val="428"/>
        </w:trPr>
        <w:tc>
          <w:tcPr>
            <w:tcW w:w="5385" w:type="dxa"/>
            <w:tcBorders>
              <w:top w:val="single" w:sz="6" w:space="0" w:color="CCCCCC"/>
              <w:left w:val="single" w:sz="6" w:space="0" w:color="CCCCCC"/>
              <w:bottom w:val="single" w:sz="6" w:space="0" w:color="CCCCCC"/>
              <w:right w:val="single" w:sz="6" w:space="0" w:color="CCCCCC"/>
            </w:tcBorders>
            <w:shd w:val="clear" w:color="auto" w:fill="F8F9FA"/>
            <w:vAlign w:val="center"/>
            <w:hideMark/>
          </w:tcPr>
          <w:p w:rsidR="00247E62" w:rsidRPr="008B7F72" w:rsidRDefault="00247E62" w:rsidP="0020733A">
            <w:pPr>
              <w:jc w:val="center"/>
              <w:rPr>
                <w:rFonts w:cstheme="minorHAnsi"/>
                <w:color w:val="212529"/>
                <w:spacing w:val="-3"/>
              </w:rPr>
            </w:pPr>
            <w:r w:rsidRPr="008B7F72">
              <w:rPr>
                <w:rStyle w:val="Textoennegrita"/>
                <w:rFonts w:cstheme="minorHAnsi"/>
                <w:color w:val="212529"/>
                <w:spacing w:val="-3"/>
              </w:rPr>
              <w:t>Coordinador del P.E. Ingeniería Informática</w:t>
            </w:r>
          </w:p>
        </w:tc>
        <w:tc>
          <w:tcPr>
            <w:tcW w:w="0" w:type="auto"/>
            <w:vMerge/>
            <w:tcBorders>
              <w:top w:val="single" w:sz="6" w:space="0" w:color="CCCCCC"/>
              <w:left w:val="single" w:sz="6" w:space="0" w:color="CCCCCC"/>
              <w:bottom w:val="single" w:sz="6" w:space="0" w:color="CCCCCC"/>
              <w:right w:val="single" w:sz="6" w:space="0" w:color="CCCCCC"/>
            </w:tcBorders>
            <w:shd w:val="clear" w:color="auto" w:fill="FEFEFE"/>
            <w:vAlign w:val="center"/>
            <w:hideMark/>
          </w:tcPr>
          <w:p w:rsidR="00247E62" w:rsidRPr="008B7F72" w:rsidRDefault="00247E62" w:rsidP="0020733A">
            <w:pPr>
              <w:rPr>
                <w:rFonts w:cstheme="minorHAnsi"/>
                <w:color w:val="212529"/>
                <w:spacing w:val="-3"/>
                <w:sz w:val="24"/>
                <w:szCs w:val="24"/>
              </w:rPr>
            </w:pPr>
          </w:p>
        </w:tc>
      </w:tr>
      <w:tr w:rsidR="00247E62" w:rsidRPr="008B7F72" w:rsidTr="0020733A">
        <w:trPr>
          <w:trHeight w:val="285"/>
        </w:trPr>
        <w:tc>
          <w:tcPr>
            <w:tcW w:w="5385" w:type="dxa"/>
            <w:tcBorders>
              <w:top w:val="single" w:sz="6" w:space="0" w:color="CCCCCC"/>
              <w:left w:val="single" w:sz="6" w:space="0" w:color="CCCCCC"/>
              <w:bottom w:val="single" w:sz="6" w:space="0" w:color="CCCCCC"/>
              <w:right w:val="single" w:sz="6" w:space="0" w:color="CCCCCC"/>
            </w:tcBorders>
            <w:shd w:val="clear" w:color="auto" w:fill="F8F9FA"/>
            <w:vAlign w:val="center"/>
            <w:hideMark/>
          </w:tcPr>
          <w:p w:rsidR="00247E62" w:rsidRPr="008B7F72" w:rsidRDefault="00247E62" w:rsidP="0020733A">
            <w:pPr>
              <w:jc w:val="center"/>
              <w:rPr>
                <w:rFonts w:cstheme="minorHAnsi"/>
                <w:color w:val="212529"/>
                <w:spacing w:val="-3"/>
              </w:rPr>
            </w:pPr>
            <w:r w:rsidRPr="008B7F72">
              <w:rPr>
                <w:rFonts w:cstheme="minorHAnsi"/>
                <w:color w:val="212529"/>
                <w:spacing w:val="-3"/>
              </w:rPr>
              <w:t>Dr. Rogelio de Jesús Portillo Vélez</w:t>
            </w:r>
          </w:p>
        </w:tc>
        <w:tc>
          <w:tcPr>
            <w:tcW w:w="4005" w:type="dxa"/>
            <w:vMerge w:val="restart"/>
            <w:tcBorders>
              <w:top w:val="single" w:sz="6" w:space="0" w:color="CCCCCC"/>
              <w:left w:val="single" w:sz="6" w:space="0" w:color="CCCCCC"/>
              <w:bottom w:val="single" w:sz="6" w:space="0" w:color="CCCCCC"/>
              <w:right w:val="single" w:sz="6" w:space="0" w:color="CCCCCC"/>
            </w:tcBorders>
            <w:shd w:val="clear" w:color="auto" w:fill="F8F9FA"/>
            <w:vAlign w:val="center"/>
            <w:hideMark/>
          </w:tcPr>
          <w:p w:rsidR="00247E62" w:rsidRPr="008B7F72" w:rsidRDefault="00247E62" w:rsidP="0020733A">
            <w:pPr>
              <w:jc w:val="center"/>
              <w:rPr>
                <w:rFonts w:cstheme="minorHAnsi"/>
                <w:color w:val="212529"/>
                <w:spacing w:val="-3"/>
              </w:rPr>
            </w:pPr>
            <w:hyperlink r:id="rId11" w:history="1">
              <w:r w:rsidRPr="008B7F72">
                <w:rPr>
                  <w:rStyle w:val="Hipervnculo"/>
                  <w:rFonts w:cstheme="minorHAnsi"/>
                  <w:color w:val="2196F3"/>
                  <w:spacing w:val="-3"/>
                </w:rPr>
                <w:t>rportillo@uv.mx</w:t>
              </w:r>
            </w:hyperlink>
          </w:p>
        </w:tc>
      </w:tr>
      <w:tr w:rsidR="00247E62" w:rsidRPr="008B7F72" w:rsidTr="0020733A">
        <w:trPr>
          <w:trHeight w:val="337"/>
        </w:trPr>
        <w:tc>
          <w:tcPr>
            <w:tcW w:w="5385" w:type="dxa"/>
            <w:tcBorders>
              <w:top w:val="single" w:sz="6" w:space="0" w:color="CCCCCC"/>
              <w:left w:val="single" w:sz="6" w:space="0" w:color="CCCCCC"/>
              <w:bottom w:val="single" w:sz="6" w:space="0" w:color="CCCCCC"/>
              <w:right w:val="single" w:sz="6" w:space="0" w:color="CCCCCC"/>
            </w:tcBorders>
            <w:shd w:val="clear" w:color="auto" w:fill="F8F9FA"/>
            <w:vAlign w:val="center"/>
            <w:hideMark/>
          </w:tcPr>
          <w:p w:rsidR="00247E62" w:rsidRPr="008B7F72" w:rsidRDefault="00247E62" w:rsidP="0020733A">
            <w:pPr>
              <w:jc w:val="center"/>
              <w:rPr>
                <w:rFonts w:cstheme="minorHAnsi"/>
                <w:color w:val="212529"/>
                <w:spacing w:val="-3"/>
              </w:rPr>
            </w:pPr>
            <w:r w:rsidRPr="008B7F72">
              <w:rPr>
                <w:rStyle w:val="Textoennegrita"/>
                <w:rFonts w:cstheme="minorHAnsi"/>
                <w:color w:val="212529"/>
                <w:spacing w:val="-3"/>
              </w:rPr>
              <w:t>Coordinador del P.E. Ingeniería Mecatrónica</w:t>
            </w:r>
          </w:p>
        </w:tc>
        <w:tc>
          <w:tcPr>
            <w:tcW w:w="0" w:type="auto"/>
            <w:vMerge/>
            <w:tcBorders>
              <w:top w:val="single" w:sz="6" w:space="0" w:color="CCCCCC"/>
              <w:left w:val="single" w:sz="6" w:space="0" w:color="CCCCCC"/>
              <w:bottom w:val="single" w:sz="6" w:space="0" w:color="CCCCCC"/>
              <w:right w:val="single" w:sz="6" w:space="0" w:color="CCCCCC"/>
            </w:tcBorders>
            <w:shd w:val="clear" w:color="auto" w:fill="FEFEFE"/>
            <w:vAlign w:val="center"/>
            <w:hideMark/>
          </w:tcPr>
          <w:p w:rsidR="00247E62" w:rsidRPr="008B7F72" w:rsidRDefault="00247E62" w:rsidP="0020733A">
            <w:pPr>
              <w:rPr>
                <w:rFonts w:cstheme="minorHAnsi"/>
                <w:color w:val="212529"/>
                <w:spacing w:val="-3"/>
                <w:sz w:val="24"/>
                <w:szCs w:val="24"/>
              </w:rPr>
            </w:pPr>
          </w:p>
        </w:tc>
      </w:tr>
    </w:tbl>
    <w:p w:rsidR="00247E62" w:rsidRPr="00AD794B" w:rsidRDefault="00247E62" w:rsidP="00247E62">
      <w:pPr>
        <w:jc w:val="both"/>
        <w:rPr>
          <w:color w:val="000000" w:themeColor="text1"/>
        </w:rPr>
      </w:pPr>
    </w:p>
    <w:p w:rsidR="00247E62" w:rsidRDefault="00247E62"/>
    <w:sectPr w:rsidR="00247E62">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E4B4E" w:rsidRDefault="004E4B4E" w:rsidP="00247E62">
      <w:pPr>
        <w:spacing w:after="0" w:line="240" w:lineRule="auto"/>
      </w:pPr>
      <w:r>
        <w:separator/>
      </w:r>
    </w:p>
  </w:endnote>
  <w:endnote w:type="continuationSeparator" w:id="0">
    <w:p w:rsidR="004E4B4E" w:rsidRDefault="004E4B4E" w:rsidP="00247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E4B4E" w:rsidRDefault="004E4B4E" w:rsidP="00247E62">
      <w:pPr>
        <w:spacing w:after="0" w:line="240" w:lineRule="auto"/>
      </w:pPr>
      <w:r>
        <w:separator/>
      </w:r>
    </w:p>
  </w:footnote>
  <w:footnote w:type="continuationSeparator" w:id="0">
    <w:p w:rsidR="004E4B4E" w:rsidRDefault="004E4B4E" w:rsidP="00247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15F3" w:rsidRDefault="004E4B4E" w:rsidP="00F115F3">
    <w:pPr>
      <w:pStyle w:val="Encabezado"/>
      <w:jc w:val="center"/>
    </w:pPr>
  </w:p>
  <w:p w:rsidR="00F115F3" w:rsidRDefault="004E4B4E" w:rsidP="00F115F3">
    <w:pPr>
      <w:pStyle w:val="Encabezado"/>
      <w:jc w:val="center"/>
    </w:pPr>
  </w:p>
  <w:p w:rsidR="00F115F3" w:rsidRDefault="004E4B4E" w:rsidP="00F115F3">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753AD"/>
    <w:multiLevelType w:val="hybridMultilevel"/>
    <w:tmpl w:val="1D908D9A"/>
    <w:lvl w:ilvl="0" w:tplc="8B12D5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5125866"/>
    <w:multiLevelType w:val="hybridMultilevel"/>
    <w:tmpl w:val="1D908D9A"/>
    <w:lvl w:ilvl="0" w:tplc="8B12D5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E62"/>
    <w:rsid w:val="00247E62"/>
    <w:rsid w:val="00366F08"/>
    <w:rsid w:val="004E4B4E"/>
    <w:rsid w:val="007D0D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B3CC7"/>
  <w15:chartTrackingRefBased/>
  <w15:docId w15:val="{CCD3AEAF-B0D8-4F30-BC63-9DA386D2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E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7E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7E62"/>
  </w:style>
  <w:style w:type="paragraph" w:styleId="Prrafodelista">
    <w:name w:val="List Paragraph"/>
    <w:basedOn w:val="Normal"/>
    <w:uiPriority w:val="34"/>
    <w:qFormat/>
    <w:rsid w:val="00247E62"/>
    <w:pPr>
      <w:ind w:left="720"/>
      <w:contextualSpacing/>
    </w:pPr>
  </w:style>
  <w:style w:type="character" w:styleId="Hipervnculo">
    <w:name w:val="Hyperlink"/>
    <w:basedOn w:val="Fuentedeprrafopredeter"/>
    <w:uiPriority w:val="99"/>
    <w:semiHidden/>
    <w:unhideWhenUsed/>
    <w:rsid w:val="00247E62"/>
    <w:rPr>
      <w:color w:val="0000FF"/>
      <w:u w:val="single"/>
    </w:rPr>
  </w:style>
  <w:style w:type="character" w:styleId="Textoennegrita">
    <w:name w:val="Strong"/>
    <w:basedOn w:val="Fuentedeprrafopredeter"/>
    <w:uiPriority w:val="22"/>
    <w:qFormat/>
    <w:rsid w:val="00247E62"/>
    <w:rPr>
      <w:b/>
      <w:bCs/>
    </w:rPr>
  </w:style>
  <w:style w:type="paragraph" w:styleId="Sinespaciado">
    <w:name w:val="No Spacing"/>
    <w:uiPriority w:val="1"/>
    <w:qFormat/>
    <w:rsid w:val="00247E62"/>
    <w:pPr>
      <w:spacing w:after="0" w:line="240" w:lineRule="auto"/>
    </w:pPr>
  </w:style>
  <w:style w:type="paragraph" w:styleId="Piedepgina">
    <w:name w:val="footer"/>
    <w:basedOn w:val="Normal"/>
    <w:link w:val="PiedepginaCar"/>
    <w:uiPriority w:val="99"/>
    <w:unhideWhenUsed/>
    <w:rsid w:val="00247E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7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delangel@uv.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mx/veracruz/fiee/quienes-somos/cuerpo-directivo/directivos/mherrera@uv.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v.mx/veracruz/fiee/quienes-somos/cuerpo-directivo/directivos/rportillo@uv.mx" TargetMode="External"/><Relationship Id="rId5" Type="http://schemas.openxmlformats.org/officeDocument/2006/relationships/footnotes" Target="footnotes.xml"/><Relationship Id="rId10" Type="http://schemas.openxmlformats.org/officeDocument/2006/relationships/hyperlink" Target="mailto:dmontejo@uv.mx" TargetMode="External"/><Relationship Id="rId4" Type="http://schemas.openxmlformats.org/officeDocument/2006/relationships/webSettings" Target="webSettings.xml"/><Relationship Id="rId9" Type="http://schemas.openxmlformats.org/officeDocument/2006/relationships/hyperlink" Target="mailto:aavendano@uv.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1133</Words>
  <Characters>6235</Characters>
  <Application>Microsoft Office Word</Application>
  <DocSecurity>0</DocSecurity>
  <Lines>51</Lines>
  <Paragraphs>14</Paragraphs>
  <ScaleCrop>false</ScaleCrop>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RJPV</dc:creator>
  <cp:keywords/>
  <dc:description/>
  <cp:lastModifiedBy>RJPV</cp:lastModifiedBy>
  <cp:revision>3</cp:revision>
  <dcterms:created xsi:type="dcterms:W3CDTF">2020-05-10T17:51:00Z</dcterms:created>
  <dcterms:modified xsi:type="dcterms:W3CDTF">2020-05-10T17:57:00Z</dcterms:modified>
</cp:coreProperties>
</file>