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Periodo de registro: </w:t>
      </w:r>
      <w:r>
        <w:rPr>
          <w:u w:val="single"/>
        </w:rPr>
        <w:t>febrero 2023 – julio 2023</w:t>
      </w:r>
    </w:p>
    <w:p>
      <w:pPr>
        <w:pStyle w:val="Normal"/>
        <w:rPr/>
      </w:pPr>
      <w:r>
        <w:rPr/>
      </w:r>
    </w:p>
    <w:tbl>
      <w:tblPr>
        <w:tblStyle w:val="Tablaconcuadrcula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79"/>
        <w:gridCol w:w="962"/>
        <w:gridCol w:w="456"/>
        <w:gridCol w:w="1701"/>
        <w:gridCol w:w="708"/>
        <w:gridCol w:w="3545"/>
      </w:tblGrid>
      <w:tr>
        <w:trPr/>
        <w:tc>
          <w:tcPr>
            <w:tcW w:w="1979" w:type="dxa"/>
            <w:tcBorders/>
            <w:shd w:color="auto" w:fill="8DB3E2" w:themeFill="text2" w:themeFillTint="6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s-ES" w:bidi="ar-SA"/>
              </w:rPr>
              <w:t>Título del Trabajo Recepcional:</w:t>
            </w:r>
          </w:p>
        </w:tc>
        <w:tc>
          <w:tcPr>
            <w:tcW w:w="7372" w:type="dxa"/>
            <w:gridSpan w:val="5"/>
            <w:tcBorders/>
            <w:shd w:color="auto" w:fill="8DB3E2" w:themeFill="text2" w:themeFillTint="66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</w:r>
          </w:p>
        </w:tc>
      </w:tr>
      <w:tr>
        <w:trPr/>
        <w:tc>
          <w:tcPr>
            <w:tcW w:w="9351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>Resumen General: El resumen del tema deberá incluir el objetivo fundamental del trabajo recepcional. Mencionar la metodología empleada de manera clara y concreta a través de los métodos o técnicas principales que se utilizarán para lograr el objetivo. La extensión del resumen debe ser de 250 a 350 palabras.</w:t>
            </w:r>
          </w:p>
        </w:tc>
      </w:tr>
      <w:tr>
        <w:trPr>
          <w:trHeight w:val="3036" w:hRule="atLeast"/>
        </w:trPr>
        <w:tc>
          <w:tcPr>
            <w:tcW w:w="9351" w:type="dxa"/>
            <w:gridSpan w:val="6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Style w:val="Elsevierstylesection"/>
                <w:szCs w:val="27"/>
              </w:rPr>
            </w:pPr>
            <w:r>
              <w:rPr>
                <w:szCs w:val="27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Style w:val="Elsevierstylesection"/>
                <w:szCs w:val="27"/>
              </w:rPr>
            </w:pPr>
            <w:r>
              <w:rPr>
                <w:szCs w:val="27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color w:val="0D0D0D" w:themeColor="text1" w:themeTint="f2"/>
                <w:sz w:val="23"/>
                <w:szCs w:val="23"/>
                <w:shd w:fill="FFFFFF" w:val="clear"/>
              </w:rPr>
            </w:pPr>
            <w:r>
              <w:rPr>
                <w:rFonts w:eastAsia="Times New Roman" w:cs="Arial" w:ascii="Arial" w:hAnsi="Arial"/>
                <w:color w:val="0D0D0D" w:themeColor="text1" w:themeTint="f2"/>
                <w:kern w:val="0"/>
                <w:sz w:val="23"/>
                <w:szCs w:val="23"/>
                <w:shd w:fill="FFFFFF" w:val="clear"/>
                <w:lang w:eastAsia="es-E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color w:val="0D0D0D" w:themeColor="text1" w:themeTint="f2"/>
                <w:sz w:val="23"/>
                <w:szCs w:val="23"/>
                <w:shd w:fill="FFFFFF" w:val="clear"/>
              </w:rPr>
            </w:pPr>
            <w:r>
              <w:rPr>
                <w:rFonts w:eastAsia="Times New Roman" w:cs="Arial" w:ascii="Arial" w:hAnsi="Arial"/>
                <w:color w:val="0D0D0D" w:themeColor="text1" w:themeTint="f2"/>
                <w:kern w:val="0"/>
                <w:sz w:val="23"/>
                <w:szCs w:val="23"/>
                <w:shd w:fill="FFFFFF" w:val="clear"/>
                <w:lang w:eastAsia="es-E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es-ES"/>
              </w:rPr>
            </w:pPr>
            <w:r>
              <w:fldChar w:fldCharType="begin"/>
            </w:r>
            <w:r>
              <w:rPr>
                <w:kern w:val="0"/>
                <w:rFonts w:eastAsia="Times New Roman" w:cs="Times New Roman"/>
                <w:lang w:eastAsia="es-ES" w:bidi="ar-SA"/>
              </w:rPr>
              <w:instrText xml:space="preserve"> BIBLIOGRAPHY </w:instrText>
            </w:r>
            <w:r>
              <w:rPr>
                <w:kern w:val="0"/>
                <w:rFonts w:eastAsia="Times New Roman" w:cs="Times New Roman"/>
                <w:lang w:eastAsia="es-ES" w:bidi="ar-SA"/>
              </w:rPr>
              <w:fldChar w:fldCharType="separate"/>
            </w:r>
            <w:r>
              <w:rPr>
                <w:rFonts w:eastAsia="Times New Roman" w:cs="Times New Roman"/>
                <w:kern w:val="0"/>
                <w:lang w:eastAsia="es-ES" w:bidi="ar-SA"/>
              </w:rPr>
            </w:r>
            <w:r>
              <w:rPr>
                <w:kern w:val="0"/>
                <w:rFonts w:eastAsia="Times New Roman" w:cs="Times New Roman"/>
                <w:lang w:eastAsia="es-ES" w:bidi="ar-SA"/>
              </w:rPr>
              <w:fldChar w:fldCharType="end"/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D0D0D" w:themeColor="text1" w:themeTint="f2"/>
              </w:rPr>
            </w:pPr>
            <w:r>
              <w:rPr>
                <w:rFonts w:eastAsia="Times New Roman" w:cs="Times New Roman"/>
                <w:color w:val="0D0D0D" w:themeColor="text1" w:themeTint="f2"/>
                <w:kern w:val="0"/>
                <w:lang w:eastAsia="es-E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</w:r>
          </w:p>
        </w:tc>
      </w:tr>
      <w:tr>
        <w:trPr/>
        <w:tc>
          <w:tcPr>
            <w:tcW w:w="9351" w:type="dxa"/>
            <w:gridSpan w:val="6"/>
            <w:tcBorders/>
            <w:shd w:color="auto" w:fill="8DB3E2" w:themeFill="tex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>Datos del Trabajo Recepcional</w:t>
            </w:r>
          </w:p>
        </w:tc>
      </w:tr>
      <w:tr>
        <w:trPr/>
        <w:tc>
          <w:tcPr>
            <w:tcW w:w="3397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>Director</w:t>
            </w:r>
          </w:p>
        </w:tc>
        <w:tc>
          <w:tcPr>
            <w:tcW w:w="5954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</w:r>
          </w:p>
        </w:tc>
      </w:tr>
      <w:tr>
        <w:trPr/>
        <w:tc>
          <w:tcPr>
            <w:tcW w:w="3397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>Asesor</w:t>
            </w:r>
          </w:p>
        </w:tc>
        <w:tc>
          <w:tcPr>
            <w:tcW w:w="5954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</w:r>
          </w:p>
        </w:tc>
      </w:tr>
      <w:tr>
        <w:trPr/>
        <w:tc>
          <w:tcPr>
            <w:tcW w:w="3397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 xml:space="preserve">Revisor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s-ES" w:bidi="ar-SA"/>
              </w:rPr>
              <w:t>(Propuesto por el coordinador de la academia)</w:t>
            </w:r>
          </w:p>
        </w:tc>
        <w:tc>
          <w:tcPr>
            <w:tcW w:w="5954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</w:r>
          </w:p>
        </w:tc>
      </w:tr>
      <w:tr>
        <w:trPr/>
        <w:tc>
          <w:tcPr>
            <w:tcW w:w="294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s-ES" w:bidi="ar-SA"/>
              </w:rPr>
              <w:t>Número Máximo de alumnos</w:t>
            </w:r>
          </w:p>
        </w:tc>
        <w:tc>
          <w:tcPr>
            <w:tcW w:w="215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0"/>
                <w:lang w:val="es-ES" w:bidi="ar-SA"/>
              </w:rPr>
              <w:t>Modalidad</w:t>
            </w:r>
          </w:p>
        </w:tc>
        <w:tc>
          <w:tcPr>
            <w:tcW w:w="425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0"/>
                <w:lang w:val="es-ES" w:bidi="ar-SA"/>
              </w:rPr>
              <w:t>Academia:</w:t>
            </w:r>
          </w:p>
        </w:tc>
      </w:tr>
      <w:tr>
        <w:trPr/>
        <w:tc>
          <w:tcPr>
            <w:tcW w:w="294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</w:r>
          </w:p>
        </w:tc>
        <w:tc>
          <w:tcPr>
            <w:tcW w:w="2157" w:type="dxa"/>
            <w:gridSpan w:val="2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/>
                <w:kern w:val="0"/>
                <w:lang w:val="es-ES" w:bidi="ar-SA"/>
              </w:rPr>
            </w:r>
          </w:p>
        </w:tc>
        <w:tc>
          <w:tcPr>
            <w:tcW w:w="4253" w:type="dxa"/>
            <w:gridSpan w:val="2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/>
                <w:kern w:val="0"/>
                <w:lang w:val="es-ES" w:bidi="ar-SA"/>
              </w:rPr>
            </w:r>
          </w:p>
        </w:tc>
      </w:tr>
      <w:tr>
        <w:trPr/>
        <w:tc>
          <w:tcPr>
            <w:tcW w:w="9351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</w:r>
          </w:p>
        </w:tc>
      </w:tr>
      <w:tr>
        <w:trPr/>
        <w:tc>
          <w:tcPr>
            <w:tcW w:w="9351" w:type="dxa"/>
            <w:gridSpan w:val="6"/>
            <w:tcBorders/>
            <w:shd w:color="auto" w:fill="8DB3E2" w:themeFill="tex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es-ES" w:bidi="ar-SA"/>
              </w:rPr>
              <w:t>En caso de que el trabajo recepcional esté relacionado con cuerpo académico</w:t>
            </w:r>
            <w:r>
              <w:rPr>
                <w:rFonts w:eastAsia="Times New Roman" w:cs="Times New Roman"/>
                <w:kern w:val="0"/>
                <w:lang w:eastAsia="es-ES" w:bidi="ar-SA"/>
              </w:rPr>
              <w:t>:</w:t>
            </w:r>
          </w:p>
        </w:tc>
      </w:tr>
      <w:tr>
        <w:trPr/>
        <w:tc>
          <w:tcPr>
            <w:tcW w:w="3397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>Nombre del cuerpo académico</w:t>
            </w:r>
          </w:p>
        </w:tc>
        <w:tc>
          <w:tcPr>
            <w:tcW w:w="5954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</w:r>
          </w:p>
        </w:tc>
      </w:tr>
      <w:tr>
        <w:trPr/>
        <w:tc>
          <w:tcPr>
            <w:tcW w:w="3397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>LGAC</w:t>
            </w:r>
          </w:p>
        </w:tc>
        <w:tc>
          <w:tcPr>
            <w:tcW w:w="5954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s-ES" w:bidi="ar-SA"/>
              </w:rPr>
            </w:r>
          </w:p>
        </w:tc>
      </w:tr>
      <w:tr>
        <w:trPr/>
        <w:tc>
          <w:tcPr>
            <w:tcW w:w="9351" w:type="dxa"/>
            <w:gridSpan w:val="6"/>
            <w:tcBorders/>
            <w:shd w:color="auto" w:fill="8DB3E2" w:themeFill="tex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>Datos de los alumnos</w:t>
            </w:r>
          </w:p>
        </w:tc>
      </w:tr>
      <w:tr>
        <w:trPr/>
        <w:tc>
          <w:tcPr>
            <w:tcW w:w="197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kern w:val="0"/>
                <w:lang w:eastAsia="es-ES" w:bidi="ar-SA"/>
              </w:rPr>
              <w:t>Matrícula</w:t>
            </w:r>
          </w:p>
        </w:tc>
        <w:tc>
          <w:tcPr>
            <w:tcW w:w="3827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s-ES" w:bidi="ar-SA"/>
              </w:rPr>
              <w:t>Nombres</w:t>
            </w:r>
          </w:p>
        </w:tc>
        <w:tc>
          <w:tcPr>
            <w:tcW w:w="3545" w:type="dxa"/>
            <w:tcBorders/>
            <w:shd w:color="auto" w:fill="F2F2F2" w:themeFill="background1" w:themeFillShade="f2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s-ES" w:bidi="ar-SA"/>
              </w:rPr>
              <w:t>E-mail (institucional)</w:t>
            </w:r>
          </w:p>
        </w:tc>
      </w:tr>
      <w:tr>
        <w:trPr/>
        <w:tc>
          <w:tcPr>
            <w:tcW w:w="197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0"/>
                <w:lang w:val="es-ES" w:bidi="ar-SA"/>
              </w:rPr>
            </w:r>
          </w:p>
        </w:tc>
        <w:tc>
          <w:tcPr>
            <w:tcW w:w="382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s-ES" w:bidi="ar-SA"/>
              </w:rPr>
            </w:r>
          </w:p>
        </w:tc>
        <w:tc>
          <w:tcPr>
            <w:tcW w:w="354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0"/>
                <w:lang w:val="es-E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Periodo de registro: </w:t>
      </w:r>
      <w:r>
        <w:rPr>
          <w:u w:val="single"/>
        </w:rPr>
        <w:t>febrero 2023– julio 2023</w:t>
      </w:r>
    </w:p>
    <w:p>
      <w:pPr>
        <w:pStyle w:val="Normal"/>
        <w:rPr/>
      </w:pPr>
      <w:r>
        <w:rPr/>
      </w:r>
    </w:p>
    <w:tbl>
      <w:tblPr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689"/>
        <w:gridCol w:w="6661"/>
      </w:tblGrid>
      <w:tr>
        <w:trPr>
          <w:trHeight w:val="559" w:hRule="exac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sz w:val="23"/>
                <w:szCs w:val="23"/>
              </w:rPr>
              <w:t>Datos de la Academia por Área de Conocimiento</w:t>
            </w:r>
          </w:p>
        </w:tc>
      </w:tr>
      <w:tr>
        <w:trPr>
          <w:trHeight w:val="559" w:hRule="exac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Nombre de la academia: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/>
            </w:r>
          </w:p>
        </w:tc>
      </w:tr>
      <w:tr>
        <w:trPr>
          <w:trHeight w:val="559" w:hRule="exac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Coordinador: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/>
            </w:r>
          </w:p>
        </w:tc>
      </w:tr>
      <w:tr>
        <w:trPr>
          <w:trHeight w:val="511" w:hRule="exact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Asistentes que participaron en la academia en la autorizaron del Trabajo Recepcional</w:t>
            </w:r>
          </w:p>
        </w:tc>
      </w:tr>
      <w:tr>
        <w:trPr>
          <w:trHeight w:val="559" w:hRule="exac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Nombre</w:t>
            </w:r>
          </w:p>
        </w:tc>
      </w:tr>
      <w:tr>
        <w:trPr>
          <w:trHeight w:val="559" w:hRule="exac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9" w:hRule="exac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9" w:hRule="exac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9" w:hRule="exac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9" w:hRule="exac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9" w:hRule="exac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9" w:hRule="exac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</w:t>
      </w:r>
    </w:p>
    <w:p>
      <w:pPr>
        <w:pStyle w:val="Normal"/>
        <w:jc w:val="center"/>
        <w:rPr/>
      </w:pPr>
      <w:r>
        <w:rPr/>
        <w:t>Nombre y firma del Coordinador de la Academia</w:t>
      </w:r>
    </w:p>
    <w:p>
      <w:pPr>
        <w:pStyle w:val="Normal"/>
        <w:jc w:val="center"/>
        <w:rPr>
          <w:rFonts w:ascii="Tahoma" w:hAnsi="Tahoma" w:cs="Tahoma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134" w:gutter="0" w:header="709" w:top="766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Gill Sans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/2</w:t>
      <w:tab/>
      <w:tab/>
      <w:t>FORTRARE_FJ2023_V1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laconcuadrcula"/>
      <w:tblW w:w="750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7508"/>
    </w:tblGrid>
    <w:tr>
      <w:trPr>
        <w:trHeight w:val="1408" w:hRule="atLeast"/>
      </w:trPr>
      <w:tc>
        <w:tcPr>
          <w:tcW w:w="750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Header"/>
            <w:widowControl/>
            <w:tabs>
              <w:tab w:val="center" w:pos="4252" w:leader="none"/>
              <w:tab w:val="center" w:pos="4703" w:leader="none"/>
              <w:tab w:val="left" w:pos="7420" w:leader="none"/>
              <w:tab w:val="right" w:pos="8504" w:leader="none"/>
            </w:tabs>
            <w:spacing w:before="0" w:after="0"/>
            <w:jc w:val="center"/>
            <w:rPr>
              <w:sz w:val="32"/>
              <w:szCs w:val="32"/>
            </w:rPr>
          </w:pPr>
          <w:r>
            <w:rPr>
              <w:rFonts w:eastAsia="Times New Roman" w:cs="Times New Roman"/>
              <w:kern w:val="0"/>
              <w:sz w:val="32"/>
              <w:szCs w:val="32"/>
              <w:lang w:eastAsia="es-ES" w:bidi="ar-SA"/>
            </w:rPr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3852545</wp:posOffset>
                </wp:positionH>
                <wp:positionV relativeFrom="page">
                  <wp:posOffset>85090</wp:posOffset>
                </wp:positionV>
                <wp:extent cx="846455" cy="1035050"/>
                <wp:effectExtent l="0" t="0" r="0" b="0"/>
                <wp:wrapThrough wrapText="bothSides">
                  <wp:wrapPolygon edited="0">
                    <wp:start x="-32" y="0"/>
                    <wp:lineTo x="-32" y="21054"/>
                    <wp:lineTo x="20882" y="21054"/>
                    <wp:lineTo x="20882" y="0"/>
                    <wp:lineTo x="-32" y="0"/>
                  </wp:wrapPolygon>
                </wp:wrapThrough>
                <wp:docPr id="1" name="0 Imagen" descr="DV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 descr="DV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9261" t="0" r="14890" b="28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1035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Header"/>
            <w:widowControl/>
            <w:tabs>
              <w:tab w:val="center" w:pos="4252" w:leader="none"/>
              <w:tab w:val="center" w:pos="4703" w:leader="none"/>
              <w:tab w:val="left" w:pos="7420" w:leader="none"/>
              <w:tab w:val="right" w:pos="8504" w:leader="none"/>
            </w:tabs>
            <w:spacing w:before="0" w:after="0"/>
            <w:jc w:val="center"/>
            <w:rPr>
              <w:sz w:val="32"/>
              <w:szCs w:val="32"/>
            </w:rPr>
          </w:pPr>
          <w:r>
            <w:rPr>
              <w:rFonts w:eastAsia="Times New Roman" w:cs="Times New Roman"/>
              <w:kern w:val="0"/>
              <w:sz w:val="32"/>
              <w:szCs w:val="32"/>
              <w:lang w:eastAsia="es-ES" w:bidi="ar-SA"/>
            </w:rPr>
            <w:t>Universidad Veracruzana</w:t>
          </w:r>
        </w:p>
        <w:p>
          <w:pPr>
            <w:pStyle w:val="Header"/>
            <w:widowControl/>
            <w:spacing w:before="0" w:after="0"/>
            <w:jc w:val="center"/>
            <w:rPr>
              <w:sz w:val="20"/>
              <w:szCs w:val="20"/>
            </w:rPr>
          </w:pPr>
          <w:r>
            <w:rPr>
              <w:rFonts w:eastAsia="Times New Roman" w:cs="Times New Roman"/>
              <w:kern w:val="0"/>
              <w:sz w:val="20"/>
              <w:szCs w:val="20"/>
              <w:lang w:eastAsia="es-ES" w:bidi="ar-SA"/>
            </w:rPr>
            <w:t>Facultad de Ingeniería en Electrónica y Comunicaciones</w:t>
          </w:r>
        </w:p>
        <w:p>
          <w:pPr>
            <w:pStyle w:val="Header"/>
            <w:widowControl/>
            <w:spacing w:before="0" w:after="0"/>
            <w:jc w:val="center"/>
            <w:rPr>
              <w:sz w:val="18"/>
              <w:szCs w:val="18"/>
            </w:rPr>
          </w:pPr>
          <w:r>
            <w:rPr>
              <w:rFonts w:eastAsia="Times New Roman" w:cs="Times New Roman"/>
              <w:kern w:val="0"/>
              <w:sz w:val="18"/>
              <w:szCs w:val="18"/>
              <w:lang w:eastAsia="es-ES" w:bidi="ar-SA"/>
            </w:rPr>
            <w:t>Programa Educativo de Ingeniería en Electrónica y Comunicaciones</w:t>
          </w:r>
        </w:p>
        <w:p>
          <w:pPr>
            <w:pStyle w:val="Header"/>
            <w:widowControl/>
            <w:spacing w:before="0" w:after="0"/>
            <w:jc w:val="center"/>
            <w:rPr>
              <w:sz w:val="18"/>
              <w:szCs w:val="18"/>
            </w:rPr>
          </w:pPr>
          <w:r>
            <w:rPr>
              <w:rFonts w:eastAsia="Times New Roman" w:cs="Times New Roman"/>
              <w:kern w:val="0"/>
              <w:sz w:val="18"/>
              <w:szCs w:val="18"/>
              <w:lang w:eastAsia="es-ES" w:bidi="ar-SA"/>
            </w:rPr>
            <w:t>Coordinación de Servicio Social y Experiencia Recepcional.</w:t>
          </w:r>
        </w:p>
        <w:p>
          <w:pPr>
            <w:pStyle w:val="Header"/>
            <w:widowControl/>
            <w:spacing w:before="0" w:after="0"/>
            <w:jc w:val="center"/>
            <w:rPr>
              <w:sz w:val="18"/>
              <w:szCs w:val="18"/>
            </w:rPr>
          </w:pPr>
          <w:r>
            <w:rPr>
              <w:rFonts w:eastAsia="Times New Roman" w:cs="Times New Roman"/>
              <w:kern w:val="0"/>
              <w:sz w:val="18"/>
              <w:szCs w:val="18"/>
              <w:lang w:eastAsia="es-ES" w:bidi="ar-SA"/>
            </w:rPr>
            <w:t>Región Poza Rica – Tuxpan</w:t>
          </w:r>
        </w:p>
        <w:p>
          <w:pPr>
            <w:pStyle w:val="Header"/>
            <w:widowControl/>
            <w:tabs>
              <w:tab w:val="center" w:pos="4252" w:leader="none"/>
              <w:tab w:val="center" w:pos="4703" w:leader="none"/>
              <w:tab w:val="left" w:pos="7420" w:leader="none"/>
              <w:tab w:val="right" w:pos="8504" w:leader="none"/>
            </w:tabs>
            <w:spacing w:before="0" w:after="0"/>
            <w:jc w:val="left"/>
            <w:rPr>
              <w:sz w:val="32"/>
              <w:szCs w:val="32"/>
            </w:rPr>
          </w:pPr>
          <w:r>
            <w:rPr>
              <w:rFonts w:eastAsia="Times New Roman" w:cs="Times New Roman"/>
              <w:kern w:val="0"/>
              <w:sz w:val="32"/>
              <w:szCs w:val="32"/>
              <w:lang w:eastAsia="es-ES" w:bidi="ar-SA"/>
            </w:rPr>
          </w:r>
        </w:p>
      </w:tc>
    </w:tr>
  </w:tbl>
  <w:p>
    <w:pPr>
      <w:pStyle w:val="Header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158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MX" w:eastAsia="es-ES" w:bidi="ar-SA"/>
    </w:rPr>
  </w:style>
  <w:style w:type="paragraph" w:styleId="Heading1">
    <w:name w:val="Heading 1"/>
    <w:basedOn w:val="Normal"/>
    <w:next w:val="Normal"/>
    <w:qFormat/>
    <w:rsid w:val="00ac158d"/>
    <w:pPr>
      <w:keepNext w:val="true"/>
      <w:jc w:val="center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911f9e"/>
    <w:rPr>
      <w:sz w:val="24"/>
      <w:szCs w:val="24"/>
      <w:lang w:val="es-MX"/>
    </w:rPr>
  </w:style>
  <w:style w:type="character" w:styleId="PiedepginaCar" w:customStyle="1">
    <w:name w:val="Pie de página Car"/>
    <w:basedOn w:val="DefaultParagraphFont"/>
    <w:link w:val="Footer"/>
    <w:uiPriority w:val="99"/>
    <w:qFormat/>
    <w:rsid w:val="00911f9e"/>
    <w:rPr>
      <w:sz w:val="24"/>
      <w:szCs w:val="24"/>
      <w:lang w:val="es-MX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911f9e"/>
    <w:rPr>
      <w:rFonts w:ascii="Tahoma" w:hAnsi="Tahoma" w:cs="Tahoma"/>
      <w:sz w:val="16"/>
      <w:szCs w:val="16"/>
      <w:lang w:val="es-MX"/>
    </w:rPr>
  </w:style>
  <w:style w:type="character" w:styleId="InternetLink">
    <w:name w:val="Hyperlink"/>
    <w:basedOn w:val="DefaultParagraphFont"/>
    <w:uiPriority w:val="99"/>
    <w:unhideWhenUsed/>
    <w:rsid w:val="00260996"/>
    <w:rPr>
      <w:color w:val="0000FF" w:themeColor="hyperlink"/>
      <w:u w:val="single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260996"/>
    <w:rPr>
      <w:color w:val="605E5C"/>
      <w:shd w:fill="E1DFDD" w:val="clear"/>
    </w:rPr>
  </w:style>
  <w:style w:type="character" w:styleId="PrrafodelistaCar" w:customStyle="1">
    <w:name w:val="Párrafo de lista Car"/>
    <w:link w:val="ListParagraph"/>
    <w:uiPriority w:val="34"/>
    <w:qFormat/>
    <w:rsid w:val="00600e3d"/>
    <w:rPr>
      <w:sz w:val="24"/>
      <w:szCs w:val="24"/>
    </w:rPr>
  </w:style>
  <w:style w:type="character" w:styleId="DireccinCar" w:customStyle="1">
    <w:name w:val="Dirección Car"/>
    <w:basedOn w:val="DefaultParagraphFont"/>
    <w:link w:val="Direccin"/>
    <w:qFormat/>
    <w:rsid w:val="00fa1a14"/>
    <w:rPr>
      <w:rFonts w:ascii="Gill Sans MT" w:hAnsi="Gill Sans MT" w:eastAsia="" w:cs="" w:cstheme="minorBidi" w:eastAsiaTheme="minorEastAsia"/>
      <w:b/>
      <w:sz w:val="16"/>
      <w:szCs w:val="22"/>
      <w:lang w:val="es-MX" w:eastAsia="es-MX"/>
    </w:rPr>
  </w:style>
  <w:style w:type="character" w:styleId="Emphasis">
    <w:name w:val="Emphasis"/>
    <w:basedOn w:val="DefaultParagraphFont"/>
    <w:uiPriority w:val="20"/>
    <w:qFormat/>
    <w:rsid w:val="00600f83"/>
    <w:rPr>
      <w:i/>
      <w:iCs/>
    </w:rPr>
  </w:style>
  <w:style w:type="character" w:styleId="Elsevierstylesection" w:customStyle="1">
    <w:name w:val="elsevierstylesection"/>
    <w:basedOn w:val="DefaultParagraphFont"/>
    <w:qFormat/>
    <w:rsid w:val="00c8713f"/>
    <w:rPr/>
  </w:style>
  <w:style w:type="character" w:styleId="Selectable" w:customStyle="1">
    <w:name w:val="selectable"/>
    <w:basedOn w:val="DefaultParagraphFont"/>
    <w:qFormat/>
    <w:rsid w:val="00fa0b9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f4dc3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s-E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911f9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911f9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11f9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PrrafodelistaCar"/>
    <w:uiPriority w:val="34"/>
    <w:qFormat/>
    <w:rsid w:val="00600e3d"/>
    <w:pPr>
      <w:spacing w:before="0" w:after="0"/>
      <w:ind w:left="720" w:hanging="0"/>
      <w:contextualSpacing/>
    </w:pPr>
    <w:rPr>
      <w:lang w:val="es-ES"/>
    </w:rPr>
  </w:style>
  <w:style w:type="paragraph" w:styleId="Default" w:customStyle="1">
    <w:name w:val="Default"/>
    <w:qFormat/>
    <w:rsid w:val="00dc53c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s-MX" w:eastAsia="es-ES" w:bidi="ar-SA"/>
    </w:rPr>
  </w:style>
  <w:style w:type="paragraph" w:styleId="Direccin" w:customStyle="1">
    <w:name w:val="Dirección"/>
    <w:link w:val="DireccinCar"/>
    <w:qFormat/>
    <w:rsid w:val="00fa1a14"/>
    <w:pPr>
      <w:widowControl/>
      <w:bidi w:val="0"/>
      <w:spacing w:lineRule="exact" w:line="170" w:before="0" w:after="0"/>
      <w:jc w:val="right"/>
    </w:pPr>
    <w:rPr>
      <w:rFonts w:ascii="Gill Sans MT" w:hAnsi="Gill Sans MT" w:eastAsia="" w:cs="" w:cstheme="minorBidi" w:eastAsiaTheme="minorEastAsia"/>
      <w:b/>
      <w:color w:val="auto"/>
      <w:kern w:val="0"/>
      <w:sz w:val="16"/>
      <w:szCs w:val="22"/>
      <w:lang w:val="es-MX" w:eastAsia="es-MX" w:bidi="ar-SA"/>
    </w:rPr>
  </w:style>
  <w:style w:type="paragraph" w:styleId="Bibliography">
    <w:name w:val="Bibliography"/>
    <w:basedOn w:val="Normal"/>
    <w:next w:val="Normal"/>
    <w:uiPriority w:val="37"/>
    <w:unhideWhenUsed/>
    <w:qFormat/>
    <w:rsid w:val="00aa47b0"/>
    <w:pPr/>
    <w:rPr/>
  </w:style>
  <w:style w:type="paragraph" w:styleId="NormalWeb">
    <w:name w:val="Normal (Web)"/>
    <w:basedOn w:val="Normal"/>
    <w:uiPriority w:val="99"/>
    <w:unhideWhenUsed/>
    <w:qFormat/>
    <w:rsid w:val="00cf64be"/>
    <w:pPr>
      <w:spacing w:beforeAutospacing="1" w:afterAutospacing="1"/>
    </w:pPr>
    <w:rPr>
      <w:lang w:eastAsia="es-M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e05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Mar18</b:Tag>
    <b:SourceType>DocumentFromInternetSite</b:SourceType>
    <b:Guid>{AF4E4A8E-7CF2-479F-B660-E8EC4B6E5B3B}</b:Guid>
    <b:Title>Pathology 4.0 – inveox automates laboratory processes </b:Title>
    <b:Year>2018</b:Year>
    <b:Author>
      <b:Author>
        <b:NameList>
          <b:Person>
            <b:Last>Driesel</b:Last>
            <b:First>Maria</b:First>
          </b:Person>
        </b:NameList>
      </b:Author>
    </b:Author>
    <b:ProductionCompany>Medica Magazine</b:ProductionCompany>
    <b:Month>Agosto</b:Month>
    <b:Day>8</b:Day>
    <b:YearAccessed>5</b:YearAccessed>
    <b:MonthAccessed>Marzo</b:MonthAccessed>
    <b:DayAccessed>2021</b:DayAccessed>
    <b:RefOrder>5</b:RefOrder>
  </b:Source>
  <b:Source>
    <b:Tag>Mod15</b:Tag>
    <b:SourceType>JournalArticle</b:SourceType>
    <b:Guid>{71F10E6A-9FDD-4155-99F8-BAB16B829F0C}</b:Guid>
    <b:Author>
      <b:Author>
        <b:NameList>
          <b:Person>
            <b:Last>Moderno</b:Last>
            <b:First>Implementación</b:First>
            <b:Middle>del Laboratorio Cinico</b:Middle>
          </b:Person>
        </b:NameList>
      </b:Author>
    </b:Author>
    <b:Title>Cecillia Tapia,</b:Title>
    <b:Year>2015</b:Year>
    <b:YearAccessed>3 </b:YearAccessed>
    <b:MonthAccessed>marzo</b:MonthAccessed>
    <b:DayAccessed>2021</b:DayAccessed>
    <b:Volume>26</b:Volume>
    <b:Issue>6</b:Issue>
    <b:JournalName>Revista Médica Clinica Los Condes</b:JournalName>
    <b:Pages>794-801</b:Pages>
    <b:RefOrder>6</b:RefOrder>
  </b:Source>
  <b:Source>
    <b:Tag>ZAR04</b:Tag>
    <b:SourceType>Report</b:SourceType>
    <b:Guid>{2F6ECE81-9482-4A7B-B0CC-FD6843680C6F}</b:Guid>
    <b:Title>ENFERMEDADES NEURODEGENERATIVAS</b:Title>
    <b:Year>15/12/2004</b:Year>
    <b:Publisher>DOSSIER</b:Publisher>
    <b:Author>
      <b:Author>
        <b:NameList>
          <b:Person>
            <b:Last>ZARRANZ</b:Last>
            <b:First>ALFREDO</b:First>
            <b:Middle>R.-ANTIGÜEDAD</b:Middle>
          </b:Person>
        </b:NameList>
      </b:Author>
    </b:Author>
    <b:LCID>es-MX</b:LCID>
    <b:YearAccessed>2021</b:YearAccessed>
    <b:MonthAccessed>SEPTIEMBRE</b:MonthAccessed>
    <b:DayAccessed>04</b:DayAccessed>
    <b:URL>https://sid.usal.es/idocs/F8/8.2.1.2-139/148/17_40_dossier.pdf</b:URL>
    <b:RefOrder>1</b:RefOrder>
  </b:Source>
  <b:Source>
    <b:Tag>Man19</b:Tag>
    <b:SourceType>Book</b:SourceType>
    <b:Guid>{A181E212-FFFE-4DB3-8B52-B8F6AC1A238D}</b:Guid>
    <b:Title>Interfaces inteligentes.</b:Title>
    <b:Year>2019</b:Year>
    <b:City>Colombia</b:City>
    <b:Author>
      <b:Author>
        <b:NameList>
          <b:Person>
            <b:Last>Mantilla</b:Last>
            <b:First>Samuel</b:First>
            <b:Middle>A.</b:Middle>
          </b:Person>
        </b:NameList>
      </b:Author>
    </b:Author>
    <b:Edition>10 ANIVERSARIO</b:Edition>
    <b:YearAccessed>2021</b:YearAccessed>
    <b:MonthAccessed>SEPTIEMBRE</b:MonthAccessed>
    <b:DayAccessed>04</b:DayAccessed>
    <b:URL>https://www2.deloitte.com/content/dam/Deloitte/pe/Documents/technology/5.%20Interfaces%20inteligentes.pdf</b:URL>
    <b:RefOrder>2</b:RefOrder>
  </b:Source>
  <b:Source>
    <b:Tag>Kev15</b:Tag>
    <b:SourceType>InternetSite</b:SourceType>
    <b:Guid>{AAAD84FE-25C0-4287-9EEF-6AA329038D32}</b:Guid>
    <b:Title>BETECH</b:Title>
    <b:Year>2016</b:Year>
    <b:Author>
      <b:Author>
        <b:NameList>
          <b:Person>
            <b:Last>Otero</b:Last>
            <b:First>Cesar</b:First>
          </b:Person>
        </b:NameList>
      </b:Author>
    </b:Author>
    <b:JournalName>Investigacion y Ciencia</b:JournalName>
    <b:Month>Agosto</b:Month>
    <b:Day>01</b:Day>
    <b:YearAccessed>2021</b:YearAccessed>
    <b:MonthAccessed>Septiembre</b:MonthAccessed>
    <b:DayAccessed>04</b:DayAccessed>
    <b:URL>https://as.com/meristation/2016/08/01/betech/1470075924_634933.html</b:URL>
    <b:RefOrder>3</b:RefOrder>
  </b:Source>
  <b:Source>
    <b:Tag>Shi20</b:Tag>
    <b:SourceType>JournalArticle</b:SourceType>
    <b:Guid>{4A0562E6-F8FB-4D55-838F-840880E4EF53}</b:Guid>
    <b:Title>AVANCE DE LA INTERFAZ CEREBRO COMPUTADORA EN NEUROCIENCIAS APLICACIONES Y PROBLEMAS</b:Title>
    <b:Year>2020</b:Year>
    <b:Author>
      <b:Author>
        <b:NameList>
          <b:Person>
            <b:Last>Shiv Kurmar Mudgal</b:Last>
            <b:First>Sueresh</b:First>
            <b:Middle>K Sharma, Jitender Chatuvedi, Anil Sharma.</b:Middle>
          </b:Person>
        </b:NameList>
      </b:Author>
    </b:Author>
    <b:JournalName> Neurocirugia Interdiciplinaria</b:JournalName>
    <b:Pages>3-8</b:Pages>
    <b:Volume>20</b:Volume>
    <b:RefOrder>4</b:RefOrder>
  </b:Source>
  <b:Source>
    <b:Tag>Enr09</b:Tag>
    <b:SourceType>Book</b:SourceType>
    <b:Guid>{0FFC87CD-C308-40AD-A94D-F0B8521DA81F}</b:Guid>
    <b:Title>Automatas programables y sistemas de automatizacion </b:Title>
    <b:Year>2009</b:Year>
    <b:Publisher>Marcombo</b:Publisher>
    <b:City>Barcelona, España</b:City>
    <b:Author>
      <b:Author>
        <b:NameList>
          <b:Person>
            <b:Last>Pérez</b:Last>
            <b:First>Enrique</b:First>
            <b:Middle>Mandado</b:Middle>
          </b:Person>
        </b:NameList>
      </b:Author>
    </b:Author>
  </b:Source>
</b:Sources>
</file>

<file path=customXml/itemProps1.xml><?xml version="1.0" encoding="utf-8"?>
<ds:datastoreItem xmlns:ds="http://schemas.openxmlformats.org/officeDocument/2006/customXml" ds:itemID="{BAE18E0B-656D-484A-8728-749E9C2F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LibreOffice/7.3.7.2$Linux_X86_64 LibreOffice_project/30$Build-2</Application>
  <AppVersion>15.0000</AppVersion>
  <Pages>2</Pages>
  <Words>178</Words>
  <Characters>1100</Characters>
  <CharactersWithSpaces>1250</CharactersWithSpaces>
  <Paragraphs>32</Paragraphs>
  <Company>Universidad Veracruzana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2023-03-09T01:53:00Z</dcterms:created>
  <dc:creator>Roman Garcia Ramos;Expe_virtual</dc:creator>
  <dc:description/>
  <dc:language>es-MX</dc:language>
  <cp:lastModifiedBy/>
  <cp:lastPrinted>2012-11-21T19:50:00Z</cp:lastPrinted>
  <dcterms:modified xsi:type="dcterms:W3CDTF">2023-03-22T19:35:34Z</dcterms:modified>
  <cp:revision>4</cp:revision>
  <dc:subject/>
  <dc:title>PROPUESTA2016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