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3FA" w:rsidRPr="003420CA" w:rsidRDefault="001F53FA" w:rsidP="00634ED7">
      <w:pPr>
        <w:spacing w:after="0" w:line="240" w:lineRule="auto"/>
        <w:jc w:val="both"/>
        <w:rPr>
          <w:rFonts w:ascii="Arial" w:hAnsi="Arial" w:cs="Arial"/>
          <w:b/>
        </w:rPr>
      </w:pPr>
      <w:bookmarkStart w:id="0" w:name="_GoBack"/>
      <w:bookmarkEnd w:id="0"/>
    </w:p>
    <w:p w:rsidR="001F53FA" w:rsidRPr="00852AB4" w:rsidRDefault="001F53FA" w:rsidP="00634ED7">
      <w:pPr>
        <w:spacing w:after="0" w:line="240" w:lineRule="auto"/>
        <w:jc w:val="center"/>
        <w:rPr>
          <w:rFonts w:ascii="Arial" w:hAnsi="Arial" w:cs="Arial"/>
          <w:b/>
          <w:sz w:val="44"/>
        </w:rPr>
      </w:pPr>
      <w:r w:rsidRPr="00852AB4">
        <w:rPr>
          <w:rFonts w:ascii="Arial" w:hAnsi="Arial" w:cs="Arial"/>
          <w:b/>
          <w:sz w:val="44"/>
        </w:rPr>
        <w:t xml:space="preserve">Descripción de conceptos utilizados en la guía para formular el PFCE </w:t>
      </w:r>
      <w:r w:rsidR="00403A5C" w:rsidRPr="00852AB4">
        <w:rPr>
          <w:rFonts w:ascii="Arial" w:hAnsi="Arial" w:cs="Arial"/>
          <w:b/>
          <w:sz w:val="44"/>
        </w:rPr>
        <w:t>201</w:t>
      </w:r>
      <w:r w:rsidR="00403A5C">
        <w:rPr>
          <w:rFonts w:ascii="Arial" w:hAnsi="Arial" w:cs="Arial"/>
          <w:b/>
          <w:sz w:val="44"/>
        </w:rPr>
        <w:t>8</w:t>
      </w:r>
      <w:r w:rsidRPr="00852AB4">
        <w:rPr>
          <w:rFonts w:ascii="Arial" w:hAnsi="Arial" w:cs="Arial"/>
          <w:b/>
          <w:sz w:val="44"/>
        </w:rPr>
        <w:t>-</w:t>
      </w:r>
      <w:r w:rsidR="00403A5C" w:rsidRPr="00852AB4">
        <w:rPr>
          <w:rFonts w:ascii="Arial" w:hAnsi="Arial" w:cs="Arial"/>
          <w:b/>
          <w:sz w:val="44"/>
        </w:rPr>
        <w:t>201</w:t>
      </w:r>
      <w:r w:rsidR="00403A5C">
        <w:rPr>
          <w:rFonts w:ascii="Arial" w:hAnsi="Arial" w:cs="Arial"/>
          <w:b/>
          <w:sz w:val="44"/>
        </w:rPr>
        <w:t>9</w:t>
      </w:r>
    </w:p>
    <w:p w:rsidR="003746F7" w:rsidRPr="00634ED7" w:rsidRDefault="003011D3" w:rsidP="00634ED7">
      <w:pPr>
        <w:spacing w:after="0" w:line="240" w:lineRule="auto"/>
        <w:jc w:val="both"/>
        <w:rPr>
          <w:rFonts w:ascii="Arial" w:hAnsi="Arial" w:cs="Arial"/>
          <w:b/>
          <w:sz w:val="28"/>
        </w:rPr>
      </w:pPr>
      <w:r w:rsidRPr="00634ED7">
        <w:rPr>
          <w:rFonts w:ascii="Arial" w:hAnsi="Arial" w:cs="Arial"/>
          <w:b/>
          <w:sz w:val="28"/>
        </w:rPr>
        <w:t>Análisis</w:t>
      </w:r>
    </w:p>
    <w:p w:rsidR="00403A5C" w:rsidRPr="003420CA" w:rsidRDefault="00403A5C" w:rsidP="00634ED7">
      <w:pPr>
        <w:spacing w:after="0" w:line="240" w:lineRule="auto"/>
        <w:jc w:val="both"/>
        <w:rPr>
          <w:rFonts w:ascii="Arial" w:hAnsi="Arial" w:cs="Arial"/>
          <w:b/>
          <w:sz w:val="24"/>
        </w:rPr>
      </w:pPr>
    </w:p>
    <w:p w:rsidR="003011D3" w:rsidRPr="003420CA" w:rsidRDefault="003011D3" w:rsidP="00634ED7">
      <w:pPr>
        <w:spacing w:after="0" w:line="240" w:lineRule="auto"/>
        <w:jc w:val="both"/>
        <w:rPr>
          <w:rFonts w:ascii="Arial" w:hAnsi="Arial" w:cs="Arial"/>
        </w:rPr>
      </w:pPr>
      <w:r w:rsidRPr="003420CA">
        <w:rPr>
          <w:rFonts w:ascii="Arial" w:hAnsi="Arial" w:cs="Arial"/>
        </w:rPr>
        <w:t>Cuando la guía solicita el análisis de cierto ámbito de la institución se refiere a:</w:t>
      </w:r>
    </w:p>
    <w:p w:rsidR="003011D3" w:rsidRPr="003420CA" w:rsidRDefault="003011D3" w:rsidP="00634ED7">
      <w:pPr>
        <w:pStyle w:val="Prrafodelista"/>
        <w:numPr>
          <w:ilvl w:val="0"/>
          <w:numId w:val="1"/>
        </w:numPr>
        <w:spacing w:after="0" w:line="240" w:lineRule="auto"/>
        <w:jc w:val="both"/>
        <w:rPr>
          <w:rFonts w:ascii="Arial" w:hAnsi="Arial" w:cs="Arial"/>
        </w:rPr>
      </w:pPr>
      <w:r w:rsidRPr="003420CA">
        <w:rPr>
          <w:rFonts w:ascii="Arial" w:hAnsi="Arial" w:cs="Arial"/>
        </w:rPr>
        <w:t>Realizar un diagnóstico de las características y circunstancias de la situación en que se encuentra la institución, las DES, los PE y los CA; para lo cual debe considerarse la misión, la visión, las políticas, los objetivos estratégicos y los indicadores de resultados, según sea el caso.</w:t>
      </w:r>
    </w:p>
    <w:p w:rsidR="003011D3" w:rsidRPr="003420CA" w:rsidRDefault="003011D3" w:rsidP="00634ED7">
      <w:pPr>
        <w:pStyle w:val="Prrafodelista"/>
        <w:numPr>
          <w:ilvl w:val="0"/>
          <w:numId w:val="1"/>
        </w:numPr>
        <w:spacing w:after="0" w:line="240" w:lineRule="auto"/>
        <w:jc w:val="both"/>
        <w:rPr>
          <w:rFonts w:ascii="Arial" w:hAnsi="Arial" w:cs="Arial"/>
        </w:rPr>
      </w:pPr>
      <w:r w:rsidRPr="003420CA">
        <w:rPr>
          <w:rFonts w:ascii="Arial" w:hAnsi="Arial" w:cs="Arial"/>
        </w:rPr>
        <w:t>Identificar las causas que originan las diferencias entre la situación actual y la deseable.</w:t>
      </w:r>
    </w:p>
    <w:p w:rsidR="003011D3" w:rsidRPr="003420CA" w:rsidRDefault="003011D3" w:rsidP="00634ED7">
      <w:pPr>
        <w:pStyle w:val="Prrafodelista"/>
        <w:numPr>
          <w:ilvl w:val="0"/>
          <w:numId w:val="1"/>
        </w:numPr>
        <w:spacing w:after="0" w:line="240" w:lineRule="auto"/>
        <w:jc w:val="both"/>
        <w:rPr>
          <w:rFonts w:ascii="Arial" w:hAnsi="Arial" w:cs="Arial"/>
        </w:rPr>
      </w:pPr>
      <w:r w:rsidRPr="003420CA">
        <w:rPr>
          <w:rFonts w:ascii="Arial" w:hAnsi="Arial" w:cs="Arial"/>
        </w:rPr>
        <w:t xml:space="preserve">Realizar como parte del análisis una revisión sobre la pertinencia y suficiencia de las estrategias actuales para alcanzar los indicadores de calidad para el periodo </w:t>
      </w:r>
      <w:r w:rsidR="00403A5C" w:rsidRPr="003420CA">
        <w:rPr>
          <w:rFonts w:ascii="Arial" w:hAnsi="Arial" w:cs="Arial"/>
        </w:rPr>
        <w:t>201</w:t>
      </w:r>
      <w:r w:rsidR="00403A5C">
        <w:rPr>
          <w:rFonts w:ascii="Arial" w:hAnsi="Arial" w:cs="Arial"/>
        </w:rPr>
        <w:t>8</w:t>
      </w:r>
      <w:r w:rsidRPr="003420CA">
        <w:rPr>
          <w:rFonts w:ascii="Arial" w:hAnsi="Arial" w:cs="Arial"/>
        </w:rPr>
        <w:t>-</w:t>
      </w:r>
      <w:r w:rsidR="00403A5C" w:rsidRPr="003420CA">
        <w:rPr>
          <w:rFonts w:ascii="Arial" w:hAnsi="Arial" w:cs="Arial"/>
        </w:rPr>
        <w:t>20</w:t>
      </w:r>
      <w:r w:rsidR="00403A5C">
        <w:rPr>
          <w:rFonts w:ascii="Arial" w:hAnsi="Arial" w:cs="Arial"/>
        </w:rPr>
        <w:t>20</w:t>
      </w:r>
      <w:r w:rsidRPr="003420CA">
        <w:rPr>
          <w:rFonts w:ascii="Arial" w:hAnsi="Arial" w:cs="Arial"/>
        </w:rPr>
        <w:t>.</w:t>
      </w:r>
    </w:p>
    <w:p w:rsidR="003011D3" w:rsidRPr="003420CA" w:rsidRDefault="003011D3" w:rsidP="00634ED7">
      <w:pPr>
        <w:pStyle w:val="Prrafodelista"/>
        <w:numPr>
          <w:ilvl w:val="0"/>
          <w:numId w:val="1"/>
        </w:numPr>
        <w:spacing w:after="0" w:line="240" w:lineRule="auto"/>
        <w:jc w:val="both"/>
        <w:rPr>
          <w:rFonts w:ascii="Arial" w:hAnsi="Arial" w:cs="Arial"/>
        </w:rPr>
      </w:pPr>
      <w:r w:rsidRPr="003420CA">
        <w:rPr>
          <w:rFonts w:ascii="Arial" w:hAnsi="Arial" w:cs="Arial"/>
        </w:rPr>
        <w:t>Inferir juicios de valor y conclusiones que orienten la solución de la problemática identificada, con base en la congruencia con el marco de referencia.</w:t>
      </w:r>
    </w:p>
    <w:p w:rsidR="003011D3" w:rsidRPr="003420CA" w:rsidRDefault="003011D3" w:rsidP="00634ED7">
      <w:pPr>
        <w:spacing w:after="0" w:line="240" w:lineRule="auto"/>
        <w:jc w:val="both"/>
        <w:rPr>
          <w:rFonts w:ascii="Arial" w:hAnsi="Arial" w:cs="Arial"/>
        </w:rPr>
      </w:pPr>
    </w:p>
    <w:p w:rsidR="003011D3" w:rsidRPr="00634ED7" w:rsidRDefault="003011D3" w:rsidP="00634ED7">
      <w:pPr>
        <w:spacing w:after="0" w:line="240" w:lineRule="auto"/>
        <w:jc w:val="both"/>
        <w:rPr>
          <w:rFonts w:ascii="Arial" w:hAnsi="Arial" w:cs="Arial"/>
          <w:b/>
          <w:sz w:val="28"/>
        </w:rPr>
      </w:pPr>
      <w:r w:rsidRPr="00634ED7">
        <w:rPr>
          <w:rFonts w:ascii="Arial" w:hAnsi="Arial" w:cs="Arial"/>
          <w:b/>
          <w:sz w:val="28"/>
        </w:rPr>
        <w:t>Análisis de brechas entre las DES</w:t>
      </w:r>
    </w:p>
    <w:p w:rsidR="00403A5C" w:rsidRPr="003420CA" w:rsidRDefault="00403A5C" w:rsidP="00634ED7">
      <w:pPr>
        <w:spacing w:after="0" w:line="240" w:lineRule="auto"/>
        <w:jc w:val="both"/>
        <w:rPr>
          <w:rFonts w:ascii="Arial" w:hAnsi="Arial" w:cs="Arial"/>
          <w:b/>
          <w:sz w:val="24"/>
        </w:rPr>
      </w:pPr>
    </w:p>
    <w:p w:rsidR="003011D3" w:rsidRDefault="003011D3" w:rsidP="00634ED7">
      <w:pPr>
        <w:spacing w:after="0" w:line="240" w:lineRule="auto"/>
        <w:jc w:val="both"/>
        <w:rPr>
          <w:rFonts w:ascii="Arial" w:hAnsi="Arial" w:cs="Arial"/>
        </w:rPr>
      </w:pPr>
      <w:r w:rsidRPr="003420CA">
        <w:rPr>
          <w:rFonts w:ascii="Arial" w:hAnsi="Arial" w:cs="Arial"/>
        </w:rPr>
        <w:t>Cuando en la Guía se menciona el análisis de brechas entre las DES o entre los PE y CA de una DES, se refiere al estudio detallado al conjunto de las DES o de los PE y CA de una DES para identificar los rezagos y diferencias entre ellas respecto a:</w:t>
      </w:r>
    </w:p>
    <w:p w:rsidR="00403A5C" w:rsidRPr="003420CA" w:rsidRDefault="00403A5C" w:rsidP="00634ED7">
      <w:pPr>
        <w:spacing w:after="0" w:line="240" w:lineRule="auto"/>
        <w:jc w:val="both"/>
        <w:rPr>
          <w:rFonts w:ascii="Arial" w:hAnsi="Arial" w:cs="Arial"/>
        </w:rPr>
      </w:pPr>
    </w:p>
    <w:p w:rsidR="003011D3" w:rsidRPr="003420CA" w:rsidRDefault="003011D3" w:rsidP="00634ED7">
      <w:pPr>
        <w:pStyle w:val="Prrafodelista"/>
        <w:numPr>
          <w:ilvl w:val="0"/>
          <w:numId w:val="2"/>
        </w:numPr>
        <w:spacing w:after="0" w:line="240" w:lineRule="auto"/>
        <w:jc w:val="both"/>
        <w:rPr>
          <w:rFonts w:ascii="Arial" w:hAnsi="Arial" w:cs="Arial"/>
        </w:rPr>
      </w:pPr>
      <w:r w:rsidRPr="003420CA">
        <w:rPr>
          <w:rFonts w:ascii="Arial" w:hAnsi="Arial" w:cs="Arial"/>
        </w:rPr>
        <w:t>El grado de desarrollo de los PE. Los programas reconocidos por su calidad y los que no lo están.</w:t>
      </w:r>
    </w:p>
    <w:p w:rsidR="003011D3" w:rsidRPr="003420CA" w:rsidRDefault="003011D3" w:rsidP="00634ED7">
      <w:pPr>
        <w:pStyle w:val="Prrafodelista"/>
        <w:numPr>
          <w:ilvl w:val="0"/>
          <w:numId w:val="2"/>
        </w:numPr>
        <w:spacing w:after="0" w:line="240" w:lineRule="auto"/>
        <w:jc w:val="both"/>
        <w:rPr>
          <w:rFonts w:ascii="Arial" w:hAnsi="Arial" w:cs="Arial"/>
        </w:rPr>
      </w:pPr>
      <w:r w:rsidRPr="003420CA">
        <w:rPr>
          <w:rFonts w:ascii="Arial" w:hAnsi="Arial" w:cs="Arial"/>
        </w:rPr>
        <w:t>Los indicadores de desempeño de los PE (tasas de aprobación, titulación, eficiencia terminal, etc.).</w:t>
      </w:r>
    </w:p>
    <w:p w:rsidR="003011D3" w:rsidRPr="003420CA" w:rsidRDefault="003011D3" w:rsidP="00634ED7">
      <w:pPr>
        <w:pStyle w:val="Prrafodelista"/>
        <w:numPr>
          <w:ilvl w:val="0"/>
          <w:numId w:val="2"/>
        </w:numPr>
        <w:spacing w:after="0" w:line="240" w:lineRule="auto"/>
        <w:jc w:val="both"/>
        <w:rPr>
          <w:rFonts w:ascii="Arial" w:hAnsi="Arial" w:cs="Arial"/>
        </w:rPr>
      </w:pPr>
      <w:r w:rsidRPr="003420CA">
        <w:rPr>
          <w:rFonts w:ascii="Arial" w:hAnsi="Arial" w:cs="Arial"/>
        </w:rPr>
        <w:t>La habilitación del profesorado de carrera</w:t>
      </w:r>
    </w:p>
    <w:p w:rsidR="003011D3" w:rsidRPr="003420CA" w:rsidRDefault="003011D3" w:rsidP="00634ED7">
      <w:pPr>
        <w:pStyle w:val="Prrafodelista"/>
        <w:numPr>
          <w:ilvl w:val="0"/>
          <w:numId w:val="2"/>
        </w:numPr>
        <w:spacing w:after="0" w:line="240" w:lineRule="auto"/>
        <w:jc w:val="both"/>
        <w:rPr>
          <w:rFonts w:ascii="Arial" w:hAnsi="Arial" w:cs="Arial"/>
        </w:rPr>
      </w:pPr>
      <w:r w:rsidRPr="003420CA">
        <w:rPr>
          <w:rFonts w:ascii="Arial" w:hAnsi="Arial" w:cs="Arial"/>
        </w:rPr>
        <w:t>La conformación y grado de consolidación de los CA</w:t>
      </w:r>
    </w:p>
    <w:p w:rsidR="003011D3" w:rsidRPr="003420CA" w:rsidRDefault="003011D3" w:rsidP="00634ED7">
      <w:pPr>
        <w:pStyle w:val="Prrafodelista"/>
        <w:numPr>
          <w:ilvl w:val="0"/>
          <w:numId w:val="2"/>
        </w:numPr>
        <w:spacing w:after="0" w:line="240" w:lineRule="auto"/>
        <w:jc w:val="both"/>
        <w:rPr>
          <w:rFonts w:ascii="Arial" w:hAnsi="Arial" w:cs="Arial"/>
        </w:rPr>
      </w:pPr>
      <w:r w:rsidRPr="003420CA">
        <w:rPr>
          <w:rFonts w:ascii="Arial" w:hAnsi="Arial" w:cs="Arial"/>
        </w:rPr>
        <w:t>La congruencia con la misión, la visión, las políticas, los objetivos estratégicos y los indicadores de resultados, según sea el caso.</w:t>
      </w:r>
    </w:p>
    <w:p w:rsidR="003011D3" w:rsidRPr="003420CA" w:rsidRDefault="003011D3" w:rsidP="00634ED7">
      <w:pPr>
        <w:pStyle w:val="Prrafodelista"/>
        <w:numPr>
          <w:ilvl w:val="0"/>
          <w:numId w:val="2"/>
        </w:numPr>
        <w:spacing w:after="0" w:line="240" w:lineRule="auto"/>
        <w:jc w:val="both"/>
        <w:rPr>
          <w:rFonts w:ascii="Arial" w:hAnsi="Arial" w:cs="Arial"/>
        </w:rPr>
      </w:pPr>
      <w:r w:rsidRPr="003420CA">
        <w:rPr>
          <w:rFonts w:ascii="Arial" w:hAnsi="Arial" w:cs="Arial"/>
        </w:rPr>
        <w:t>Otros indicadores básicos.</w:t>
      </w:r>
    </w:p>
    <w:p w:rsidR="00403A5C" w:rsidRDefault="00403A5C" w:rsidP="00634ED7">
      <w:pPr>
        <w:spacing w:after="0" w:line="240" w:lineRule="auto"/>
        <w:jc w:val="both"/>
        <w:rPr>
          <w:rFonts w:ascii="Arial" w:hAnsi="Arial" w:cs="Arial"/>
          <w:b/>
          <w:sz w:val="24"/>
        </w:rPr>
      </w:pPr>
    </w:p>
    <w:p w:rsidR="003011D3" w:rsidRPr="00634ED7" w:rsidRDefault="003011D3" w:rsidP="00634ED7">
      <w:pPr>
        <w:spacing w:after="0" w:line="240" w:lineRule="auto"/>
        <w:jc w:val="both"/>
        <w:rPr>
          <w:rFonts w:ascii="Arial" w:hAnsi="Arial" w:cs="Arial"/>
          <w:b/>
          <w:sz w:val="28"/>
        </w:rPr>
      </w:pPr>
      <w:r w:rsidRPr="00634ED7">
        <w:rPr>
          <w:rFonts w:ascii="Arial" w:hAnsi="Arial" w:cs="Arial"/>
          <w:b/>
          <w:sz w:val="28"/>
        </w:rPr>
        <w:t>Consistencia</w:t>
      </w:r>
    </w:p>
    <w:p w:rsidR="00403A5C" w:rsidRPr="003420CA" w:rsidRDefault="00403A5C" w:rsidP="00634ED7">
      <w:pPr>
        <w:spacing w:after="0" w:line="240" w:lineRule="auto"/>
        <w:jc w:val="both"/>
        <w:rPr>
          <w:rFonts w:ascii="Arial" w:hAnsi="Arial" w:cs="Arial"/>
          <w:b/>
          <w:sz w:val="24"/>
        </w:rPr>
      </w:pPr>
    </w:p>
    <w:p w:rsidR="003011D3" w:rsidRPr="003420CA" w:rsidRDefault="003011D3" w:rsidP="00634ED7">
      <w:pPr>
        <w:spacing w:after="0" w:line="240" w:lineRule="auto"/>
        <w:jc w:val="both"/>
        <w:rPr>
          <w:rFonts w:ascii="Arial" w:hAnsi="Arial" w:cs="Arial"/>
        </w:rPr>
      </w:pPr>
      <w:r w:rsidRPr="003420CA">
        <w:rPr>
          <w:rFonts w:ascii="Arial" w:hAnsi="Arial" w:cs="Arial"/>
        </w:rPr>
        <w:t>Cuando en la guía se menciona Consistencia, se refiere a que:</w:t>
      </w:r>
    </w:p>
    <w:p w:rsidR="003011D3" w:rsidRPr="003420CA" w:rsidRDefault="003011D3" w:rsidP="00634ED7">
      <w:pPr>
        <w:pStyle w:val="Prrafodelista"/>
        <w:numPr>
          <w:ilvl w:val="0"/>
          <w:numId w:val="3"/>
        </w:numPr>
        <w:spacing w:after="0" w:line="240" w:lineRule="auto"/>
        <w:jc w:val="both"/>
        <w:rPr>
          <w:rFonts w:ascii="Arial" w:hAnsi="Arial" w:cs="Arial"/>
        </w:rPr>
      </w:pPr>
      <w:r w:rsidRPr="003420CA">
        <w:rPr>
          <w:rFonts w:ascii="Arial" w:hAnsi="Arial" w:cs="Arial"/>
        </w:rPr>
        <w:t>Las políticas de la DES sean congruentes con las políticas de la institución.</w:t>
      </w:r>
    </w:p>
    <w:p w:rsidR="003011D3" w:rsidRPr="003420CA" w:rsidRDefault="00015414" w:rsidP="00634ED7">
      <w:pPr>
        <w:pStyle w:val="Prrafodelista"/>
        <w:numPr>
          <w:ilvl w:val="0"/>
          <w:numId w:val="3"/>
        </w:numPr>
        <w:spacing w:after="0" w:line="240" w:lineRule="auto"/>
        <w:jc w:val="both"/>
        <w:rPr>
          <w:rFonts w:ascii="Arial" w:hAnsi="Arial" w:cs="Arial"/>
        </w:rPr>
      </w:pPr>
      <w:r w:rsidRPr="003420CA">
        <w:rPr>
          <w:rFonts w:ascii="Arial" w:hAnsi="Arial" w:cs="Arial"/>
        </w:rPr>
        <w:t>En el ámbito de las</w:t>
      </w:r>
      <w:r w:rsidR="003011D3" w:rsidRPr="003420CA">
        <w:rPr>
          <w:rFonts w:ascii="Arial" w:hAnsi="Arial" w:cs="Arial"/>
        </w:rPr>
        <w:t xml:space="preserve"> DES</w:t>
      </w:r>
      <w:r w:rsidRPr="003420CA">
        <w:rPr>
          <w:rFonts w:ascii="Arial" w:hAnsi="Arial" w:cs="Arial"/>
        </w:rPr>
        <w:t>,</w:t>
      </w:r>
      <w:r w:rsidR="003011D3" w:rsidRPr="003420CA">
        <w:rPr>
          <w:rFonts w:ascii="Arial" w:hAnsi="Arial" w:cs="Arial"/>
        </w:rPr>
        <w:t xml:space="preserve"> los proyectos y los indicadores de calidad comprometidos </w:t>
      </w:r>
      <w:r w:rsidRPr="003420CA">
        <w:rPr>
          <w:rFonts w:ascii="Arial" w:hAnsi="Arial" w:cs="Arial"/>
        </w:rPr>
        <w:t xml:space="preserve">deben de atender </w:t>
      </w:r>
      <w:r w:rsidR="003011D3" w:rsidRPr="003420CA">
        <w:rPr>
          <w:rFonts w:ascii="Arial" w:hAnsi="Arial" w:cs="Arial"/>
        </w:rPr>
        <w:t>las fortalezas y problemas identificados en la autoevalua</w:t>
      </w:r>
      <w:r w:rsidRPr="003420CA">
        <w:rPr>
          <w:rFonts w:ascii="Arial" w:hAnsi="Arial" w:cs="Arial"/>
        </w:rPr>
        <w:t xml:space="preserve">ción y a las políticas </w:t>
      </w:r>
      <w:r w:rsidR="00403A5C">
        <w:rPr>
          <w:rFonts w:ascii="Arial" w:hAnsi="Arial" w:cs="Arial"/>
        </w:rPr>
        <w:t>de la Institución</w:t>
      </w:r>
      <w:r w:rsidR="003011D3" w:rsidRPr="003420CA">
        <w:rPr>
          <w:rFonts w:ascii="Arial" w:hAnsi="Arial" w:cs="Arial"/>
        </w:rPr>
        <w:t>.</w:t>
      </w:r>
    </w:p>
    <w:p w:rsidR="003011D3" w:rsidRPr="003420CA" w:rsidRDefault="003011D3" w:rsidP="00634ED7">
      <w:pPr>
        <w:pStyle w:val="Prrafodelista"/>
        <w:numPr>
          <w:ilvl w:val="0"/>
          <w:numId w:val="3"/>
        </w:numPr>
        <w:spacing w:after="0" w:line="240" w:lineRule="auto"/>
        <w:jc w:val="both"/>
        <w:rPr>
          <w:rFonts w:ascii="Arial" w:hAnsi="Arial" w:cs="Arial"/>
        </w:rPr>
      </w:pPr>
      <w:r w:rsidRPr="003420CA">
        <w:rPr>
          <w:rFonts w:ascii="Arial" w:hAnsi="Arial" w:cs="Arial"/>
        </w:rPr>
        <w:t xml:space="preserve">En  </w:t>
      </w:r>
      <w:r w:rsidR="00015414" w:rsidRPr="003420CA">
        <w:rPr>
          <w:rFonts w:ascii="Arial" w:hAnsi="Arial" w:cs="Arial"/>
        </w:rPr>
        <w:t>el ámbito de la gestión,</w:t>
      </w:r>
      <w:r w:rsidRPr="003420CA">
        <w:rPr>
          <w:rFonts w:ascii="Arial" w:hAnsi="Arial" w:cs="Arial"/>
        </w:rPr>
        <w:t xml:space="preserve"> los proyectos y los indicadores de calidad comprometidos atiendan a las fortalezas, problemas identificados en la autoevaluación y a las políticas de la Institución.</w:t>
      </w:r>
    </w:p>
    <w:p w:rsidR="00403A5C" w:rsidRDefault="00403A5C" w:rsidP="00634ED7">
      <w:pPr>
        <w:spacing w:after="0" w:line="240" w:lineRule="auto"/>
        <w:jc w:val="both"/>
        <w:rPr>
          <w:rFonts w:ascii="Arial" w:hAnsi="Arial" w:cs="Arial"/>
          <w:b/>
        </w:rPr>
      </w:pPr>
    </w:p>
    <w:p w:rsidR="003011D3" w:rsidRDefault="003011D3" w:rsidP="00634ED7">
      <w:pPr>
        <w:spacing w:after="0" w:line="240" w:lineRule="auto"/>
        <w:jc w:val="both"/>
        <w:rPr>
          <w:rFonts w:ascii="Arial" w:hAnsi="Arial" w:cs="Arial"/>
          <w:b/>
          <w:sz w:val="28"/>
        </w:rPr>
      </w:pPr>
      <w:r w:rsidRPr="00634ED7">
        <w:rPr>
          <w:rFonts w:ascii="Arial" w:hAnsi="Arial" w:cs="Arial"/>
          <w:b/>
          <w:sz w:val="28"/>
        </w:rPr>
        <w:t>Contextualización</w:t>
      </w:r>
    </w:p>
    <w:p w:rsidR="00403A5C" w:rsidRPr="00634ED7" w:rsidRDefault="00403A5C" w:rsidP="00634ED7">
      <w:pPr>
        <w:spacing w:after="0" w:line="240" w:lineRule="auto"/>
        <w:jc w:val="both"/>
        <w:rPr>
          <w:rFonts w:ascii="Arial" w:hAnsi="Arial" w:cs="Arial"/>
          <w:b/>
          <w:sz w:val="28"/>
        </w:rPr>
      </w:pPr>
    </w:p>
    <w:p w:rsidR="003011D3" w:rsidRPr="003420CA" w:rsidRDefault="003011D3" w:rsidP="00634ED7">
      <w:pPr>
        <w:spacing w:after="0" w:line="240" w:lineRule="auto"/>
        <w:jc w:val="both"/>
        <w:rPr>
          <w:rFonts w:ascii="Arial" w:hAnsi="Arial" w:cs="Arial"/>
        </w:rPr>
      </w:pPr>
      <w:r w:rsidRPr="003420CA">
        <w:rPr>
          <w:rFonts w:ascii="Arial" w:hAnsi="Arial" w:cs="Arial"/>
        </w:rPr>
        <w:lastRenderedPageBreak/>
        <w:t>Cuando en la Guía se menciona contextualización se refiere a que:</w:t>
      </w:r>
    </w:p>
    <w:p w:rsidR="003011D3" w:rsidRPr="003420CA" w:rsidRDefault="003011D3" w:rsidP="00634ED7">
      <w:pPr>
        <w:pStyle w:val="Prrafodelista"/>
        <w:numPr>
          <w:ilvl w:val="0"/>
          <w:numId w:val="4"/>
        </w:numPr>
        <w:spacing w:after="0" w:line="240" w:lineRule="auto"/>
        <w:jc w:val="both"/>
        <w:rPr>
          <w:rFonts w:ascii="Arial" w:hAnsi="Arial" w:cs="Arial"/>
          <w:b/>
        </w:rPr>
      </w:pPr>
      <w:r w:rsidRPr="003420CA">
        <w:rPr>
          <w:rFonts w:ascii="Arial" w:hAnsi="Arial" w:cs="Arial"/>
          <w:b/>
        </w:rPr>
        <w:t>Exista consistencia</w:t>
      </w:r>
    </w:p>
    <w:p w:rsidR="003011D3" w:rsidRPr="003420CA" w:rsidRDefault="003011D3" w:rsidP="00634ED7">
      <w:pPr>
        <w:pStyle w:val="Prrafodelista"/>
        <w:numPr>
          <w:ilvl w:val="0"/>
          <w:numId w:val="5"/>
        </w:numPr>
        <w:spacing w:after="0" w:line="240" w:lineRule="auto"/>
        <w:jc w:val="both"/>
        <w:rPr>
          <w:rFonts w:ascii="Arial" w:hAnsi="Arial" w:cs="Arial"/>
        </w:rPr>
      </w:pPr>
      <w:r w:rsidRPr="003420CA">
        <w:rPr>
          <w:rFonts w:ascii="Arial" w:hAnsi="Arial" w:cs="Arial"/>
        </w:rPr>
        <w:t>Las políticas de las DES sean congruentes con las políticas de la institución.</w:t>
      </w:r>
    </w:p>
    <w:p w:rsidR="003011D3" w:rsidRPr="003420CA" w:rsidRDefault="003011D3" w:rsidP="00634ED7">
      <w:pPr>
        <w:pStyle w:val="Prrafodelista"/>
        <w:numPr>
          <w:ilvl w:val="0"/>
          <w:numId w:val="5"/>
        </w:numPr>
        <w:spacing w:after="0" w:line="240" w:lineRule="auto"/>
        <w:jc w:val="both"/>
        <w:rPr>
          <w:rFonts w:ascii="Arial" w:hAnsi="Arial" w:cs="Arial"/>
        </w:rPr>
      </w:pPr>
      <w:r w:rsidRPr="003420CA">
        <w:rPr>
          <w:rFonts w:ascii="Arial" w:hAnsi="Arial" w:cs="Arial"/>
        </w:rPr>
        <w:t>En cada proyecto de la DES y sus indicadores de calidad co</w:t>
      </w:r>
      <w:r w:rsidR="00AB150C" w:rsidRPr="003420CA">
        <w:rPr>
          <w:rFonts w:ascii="Arial" w:hAnsi="Arial" w:cs="Arial"/>
        </w:rPr>
        <w:t>mprometidos se relacionan con las fortalezas y problemas identificados en la autoevaluación y a las políticas establecidos a nivel institucional.</w:t>
      </w:r>
    </w:p>
    <w:p w:rsidR="00AB150C" w:rsidRPr="003420CA" w:rsidRDefault="00AB150C" w:rsidP="00634ED7">
      <w:pPr>
        <w:pStyle w:val="Prrafodelista"/>
        <w:numPr>
          <w:ilvl w:val="0"/>
          <w:numId w:val="5"/>
        </w:numPr>
        <w:spacing w:after="0" w:line="240" w:lineRule="auto"/>
        <w:jc w:val="both"/>
        <w:rPr>
          <w:rFonts w:ascii="Arial" w:hAnsi="Arial" w:cs="Arial"/>
        </w:rPr>
      </w:pPr>
      <w:r w:rsidRPr="003420CA">
        <w:rPr>
          <w:rFonts w:ascii="Arial" w:hAnsi="Arial" w:cs="Arial"/>
        </w:rPr>
        <w:t xml:space="preserve">En </w:t>
      </w:r>
      <w:r w:rsidR="00106C0C" w:rsidRPr="003420CA">
        <w:rPr>
          <w:rFonts w:ascii="Arial" w:hAnsi="Arial" w:cs="Arial"/>
        </w:rPr>
        <w:t>la gestión,</w:t>
      </w:r>
      <w:r w:rsidRPr="003420CA">
        <w:rPr>
          <w:rFonts w:ascii="Arial" w:hAnsi="Arial" w:cs="Arial"/>
        </w:rPr>
        <w:t xml:space="preserve"> los proyectos y los indicadores de calidad comprometidos se relacionan con las fortalezas y problemas identificados en la autoevaluación y a las políticas </w:t>
      </w:r>
      <w:r w:rsidR="00403A5C">
        <w:rPr>
          <w:rFonts w:ascii="Arial" w:hAnsi="Arial" w:cs="Arial"/>
        </w:rPr>
        <w:t>de la Institución</w:t>
      </w:r>
      <w:r w:rsidRPr="003420CA">
        <w:rPr>
          <w:rFonts w:ascii="Arial" w:hAnsi="Arial" w:cs="Arial"/>
        </w:rPr>
        <w:t>.</w:t>
      </w:r>
    </w:p>
    <w:p w:rsidR="00AB150C" w:rsidRPr="003420CA" w:rsidRDefault="00AB150C" w:rsidP="00634ED7">
      <w:pPr>
        <w:pStyle w:val="Prrafodelista"/>
        <w:numPr>
          <w:ilvl w:val="0"/>
          <w:numId w:val="6"/>
        </w:numPr>
        <w:spacing w:after="0" w:line="240" w:lineRule="auto"/>
        <w:jc w:val="both"/>
        <w:rPr>
          <w:rFonts w:ascii="Arial" w:hAnsi="Arial" w:cs="Arial"/>
          <w:b/>
        </w:rPr>
      </w:pPr>
      <w:r w:rsidRPr="003420CA">
        <w:rPr>
          <w:rFonts w:ascii="Arial" w:hAnsi="Arial" w:cs="Arial"/>
          <w:b/>
        </w:rPr>
        <w:t>Los problemas sean atendidos en el ámbito que le corresponda con el propósito de evitar inconsistencias y duplicidades, así como optimizar recursos.</w:t>
      </w:r>
    </w:p>
    <w:p w:rsidR="00AB150C" w:rsidRPr="003420CA" w:rsidRDefault="00AB150C" w:rsidP="00634ED7">
      <w:pPr>
        <w:pStyle w:val="Prrafodelista"/>
        <w:numPr>
          <w:ilvl w:val="0"/>
          <w:numId w:val="7"/>
        </w:numPr>
        <w:spacing w:after="0" w:line="240" w:lineRule="auto"/>
        <w:jc w:val="both"/>
        <w:rPr>
          <w:rFonts w:ascii="Arial" w:hAnsi="Arial" w:cs="Arial"/>
        </w:rPr>
      </w:pPr>
      <w:r w:rsidRPr="003420CA">
        <w:rPr>
          <w:rFonts w:ascii="Arial" w:hAnsi="Arial" w:cs="Arial"/>
        </w:rPr>
        <w:t>Los asuntos identificados en las DES cuya atención no es de su competencia y que deben ser atendidos a nivel institucional (problemas estructurales,</w:t>
      </w:r>
      <w:r w:rsidR="00403A5C">
        <w:rPr>
          <w:rFonts w:ascii="Arial" w:hAnsi="Arial" w:cs="Arial"/>
        </w:rPr>
        <w:t xml:space="preserve"> </w:t>
      </w:r>
      <w:r w:rsidRPr="003420CA">
        <w:rPr>
          <w:rFonts w:ascii="Arial" w:hAnsi="Arial" w:cs="Arial"/>
        </w:rPr>
        <w:t xml:space="preserve"> normativa, construcciones, </w:t>
      </w:r>
      <w:r w:rsidR="00403A5C">
        <w:rPr>
          <w:rFonts w:ascii="Arial" w:hAnsi="Arial" w:cs="Arial"/>
        </w:rPr>
        <w:t xml:space="preserve">certificación de procesos de gestión, </w:t>
      </w:r>
      <w:r w:rsidRPr="003420CA">
        <w:rPr>
          <w:rFonts w:ascii="Arial" w:hAnsi="Arial" w:cs="Arial"/>
        </w:rPr>
        <w:t>etc.).</w:t>
      </w:r>
    </w:p>
    <w:p w:rsidR="00AB150C" w:rsidRPr="003420CA" w:rsidRDefault="00AB150C" w:rsidP="00634ED7">
      <w:pPr>
        <w:pStyle w:val="Prrafodelista"/>
        <w:numPr>
          <w:ilvl w:val="0"/>
          <w:numId w:val="8"/>
        </w:numPr>
        <w:spacing w:after="0" w:line="240" w:lineRule="auto"/>
        <w:jc w:val="both"/>
        <w:rPr>
          <w:rFonts w:ascii="Arial" w:hAnsi="Arial" w:cs="Arial"/>
        </w:rPr>
      </w:pPr>
      <w:r w:rsidRPr="003420CA">
        <w:rPr>
          <w:rFonts w:ascii="Arial" w:hAnsi="Arial" w:cs="Arial"/>
        </w:rPr>
        <w:t xml:space="preserve">Los asuntos identificados en la DES cuya atención se considera pertinente que sean atendidos en el ámbito institucional (conectividad, sistema integral de información, seguimiento de egresados, modelos de educación centrados en el aprendizaje, </w:t>
      </w:r>
      <w:r w:rsidR="00403A5C">
        <w:rPr>
          <w:rFonts w:ascii="Arial" w:hAnsi="Arial" w:cs="Arial"/>
        </w:rPr>
        <w:t xml:space="preserve">bibliotecas, </w:t>
      </w:r>
      <w:r w:rsidRPr="003420CA">
        <w:rPr>
          <w:rFonts w:ascii="Arial" w:hAnsi="Arial" w:cs="Arial"/>
        </w:rPr>
        <w:t>etc.).</w:t>
      </w:r>
    </w:p>
    <w:p w:rsidR="00AB150C" w:rsidRPr="003420CA" w:rsidRDefault="00AB150C" w:rsidP="00634ED7">
      <w:pPr>
        <w:pStyle w:val="Prrafodelista"/>
        <w:numPr>
          <w:ilvl w:val="0"/>
          <w:numId w:val="8"/>
        </w:numPr>
        <w:spacing w:after="0" w:line="240" w:lineRule="auto"/>
        <w:jc w:val="both"/>
        <w:rPr>
          <w:rFonts w:ascii="Arial" w:hAnsi="Arial" w:cs="Arial"/>
        </w:rPr>
      </w:pPr>
      <w:r w:rsidRPr="003420CA">
        <w:rPr>
          <w:rFonts w:ascii="Arial" w:hAnsi="Arial" w:cs="Arial"/>
        </w:rPr>
        <w:t xml:space="preserve">La atención de estos asuntos se deben plantear en </w:t>
      </w:r>
      <w:r w:rsidR="00106C0C" w:rsidRPr="003420CA">
        <w:rPr>
          <w:rFonts w:ascii="Arial" w:hAnsi="Arial" w:cs="Arial"/>
        </w:rPr>
        <w:t>proyectos incluidos en los proyecto</w:t>
      </w:r>
      <w:r w:rsidR="00403A5C">
        <w:rPr>
          <w:rFonts w:ascii="Arial" w:hAnsi="Arial" w:cs="Arial"/>
        </w:rPr>
        <w:t>s</w:t>
      </w:r>
      <w:r w:rsidR="00106C0C" w:rsidRPr="003420CA">
        <w:rPr>
          <w:rFonts w:ascii="Arial" w:hAnsi="Arial" w:cs="Arial"/>
        </w:rPr>
        <w:t xml:space="preserve"> de la gestión</w:t>
      </w:r>
      <w:r w:rsidRPr="003420CA">
        <w:rPr>
          <w:rFonts w:ascii="Arial" w:hAnsi="Arial" w:cs="Arial"/>
        </w:rPr>
        <w:t>.</w:t>
      </w:r>
    </w:p>
    <w:p w:rsidR="00AB150C" w:rsidRPr="003420CA" w:rsidRDefault="00AB150C" w:rsidP="00634ED7">
      <w:pPr>
        <w:spacing w:after="0" w:line="240" w:lineRule="auto"/>
        <w:jc w:val="both"/>
        <w:rPr>
          <w:rFonts w:ascii="Arial" w:hAnsi="Arial" w:cs="Arial"/>
        </w:rPr>
      </w:pPr>
    </w:p>
    <w:p w:rsidR="00DA3F3B" w:rsidRPr="00634ED7" w:rsidRDefault="00DA3F3B" w:rsidP="00634ED7">
      <w:pPr>
        <w:spacing w:after="0" w:line="240" w:lineRule="auto"/>
        <w:jc w:val="both"/>
        <w:rPr>
          <w:rFonts w:ascii="Arial" w:hAnsi="Arial" w:cs="Arial"/>
          <w:b/>
          <w:sz w:val="28"/>
          <w:szCs w:val="28"/>
        </w:rPr>
      </w:pPr>
      <w:r w:rsidRPr="00634ED7">
        <w:rPr>
          <w:rFonts w:ascii="Arial" w:hAnsi="Arial" w:cs="Arial"/>
          <w:b/>
          <w:sz w:val="28"/>
          <w:szCs w:val="28"/>
        </w:rPr>
        <w:t>Problemas estructurales</w:t>
      </w:r>
    </w:p>
    <w:p w:rsidR="00403A5C" w:rsidRDefault="00403A5C" w:rsidP="00634ED7">
      <w:pPr>
        <w:spacing w:after="0" w:line="240" w:lineRule="auto"/>
        <w:jc w:val="both"/>
        <w:rPr>
          <w:rFonts w:ascii="Arial" w:hAnsi="Arial" w:cs="Arial"/>
        </w:rPr>
      </w:pPr>
    </w:p>
    <w:p w:rsidR="00AB150C" w:rsidRPr="003420CA" w:rsidRDefault="00AB150C" w:rsidP="00634ED7">
      <w:pPr>
        <w:spacing w:after="0" w:line="240" w:lineRule="auto"/>
        <w:jc w:val="both"/>
        <w:rPr>
          <w:rFonts w:ascii="Arial" w:hAnsi="Arial" w:cs="Arial"/>
          <w:b/>
        </w:rPr>
      </w:pPr>
      <w:r w:rsidRPr="003420CA">
        <w:rPr>
          <w:rFonts w:ascii="Arial" w:hAnsi="Arial" w:cs="Arial"/>
        </w:rPr>
        <w:t>Cuando en la Guía se mencionan problemas estructurales, se refiere a aquellos que de no resolverse, ponen en riesgo la viabilidad académica y financiera de la institución</w:t>
      </w:r>
      <w:r w:rsidR="00DA3F3B" w:rsidRPr="003420CA">
        <w:rPr>
          <w:rFonts w:ascii="Arial" w:hAnsi="Arial" w:cs="Arial"/>
        </w:rPr>
        <w:t>.</w:t>
      </w:r>
    </w:p>
    <w:p w:rsidR="00403A5C" w:rsidRDefault="00403A5C" w:rsidP="00634ED7">
      <w:pPr>
        <w:spacing w:after="0" w:line="240" w:lineRule="auto"/>
        <w:jc w:val="both"/>
        <w:rPr>
          <w:rFonts w:ascii="Arial" w:hAnsi="Arial" w:cs="Arial"/>
          <w:b/>
        </w:rPr>
      </w:pPr>
    </w:p>
    <w:p w:rsidR="00AB150C" w:rsidRDefault="00AB150C" w:rsidP="00634ED7">
      <w:pPr>
        <w:spacing w:after="0" w:line="240" w:lineRule="auto"/>
        <w:jc w:val="both"/>
        <w:rPr>
          <w:rFonts w:ascii="Arial" w:hAnsi="Arial" w:cs="Arial"/>
          <w:b/>
          <w:sz w:val="28"/>
        </w:rPr>
      </w:pPr>
      <w:r w:rsidRPr="00634ED7">
        <w:rPr>
          <w:rFonts w:ascii="Arial" w:hAnsi="Arial" w:cs="Arial"/>
          <w:b/>
          <w:sz w:val="28"/>
        </w:rPr>
        <w:t>Programas educativos evaluables</w:t>
      </w:r>
    </w:p>
    <w:p w:rsidR="00403A5C" w:rsidRPr="00634ED7" w:rsidRDefault="00403A5C" w:rsidP="00634ED7">
      <w:pPr>
        <w:spacing w:after="0" w:line="240" w:lineRule="auto"/>
        <w:jc w:val="both"/>
        <w:rPr>
          <w:rFonts w:ascii="Arial" w:hAnsi="Arial" w:cs="Arial"/>
          <w:b/>
          <w:sz w:val="28"/>
        </w:rPr>
      </w:pPr>
    </w:p>
    <w:p w:rsidR="00AB150C" w:rsidRPr="003420CA" w:rsidRDefault="00AB150C" w:rsidP="00634ED7">
      <w:pPr>
        <w:pStyle w:val="Prrafodelista"/>
        <w:numPr>
          <w:ilvl w:val="0"/>
          <w:numId w:val="9"/>
        </w:numPr>
        <w:spacing w:after="0" w:line="240" w:lineRule="auto"/>
        <w:jc w:val="both"/>
        <w:rPr>
          <w:rFonts w:ascii="Arial" w:hAnsi="Arial" w:cs="Arial"/>
        </w:rPr>
      </w:pPr>
      <w:r w:rsidRPr="003420CA">
        <w:rPr>
          <w:rFonts w:ascii="Arial" w:hAnsi="Arial" w:cs="Arial"/>
        </w:rPr>
        <w:t>Son los PE vigentes de la institución que cuentan con una o más generaciones de egresados</w:t>
      </w:r>
      <w:r w:rsidR="00DA3F3B" w:rsidRPr="003420CA">
        <w:rPr>
          <w:rFonts w:ascii="Arial" w:hAnsi="Arial" w:cs="Arial"/>
        </w:rPr>
        <w:t>.</w:t>
      </w:r>
    </w:p>
    <w:p w:rsidR="00AB150C" w:rsidRPr="003420CA" w:rsidRDefault="00AB150C" w:rsidP="00634ED7">
      <w:pPr>
        <w:pStyle w:val="Prrafodelista"/>
        <w:numPr>
          <w:ilvl w:val="0"/>
          <w:numId w:val="10"/>
        </w:numPr>
        <w:spacing w:after="0" w:line="240" w:lineRule="auto"/>
        <w:jc w:val="both"/>
        <w:rPr>
          <w:rFonts w:ascii="Arial" w:hAnsi="Arial" w:cs="Arial"/>
        </w:rPr>
      </w:pPr>
      <w:r w:rsidRPr="003420CA">
        <w:rPr>
          <w:rFonts w:ascii="Arial" w:hAnsi="Arial" w:cs="Arial"/>
        </w:rPr>
        <w:t>Se consideran evaluables los PE que han sido reestructurados (cambios al plan y programas de estudios) como consecuencia de una autoevaluación o una evaluación externa.</w:t>
      </w:r>
    </w:p>
    <w:p w:rsidR="00403A5C" w:rsidRDefault="00403A5C" w:rsidP="00634ED7">
      <w:pPr>
        <w:spacing w:after="0" w:line="240" w:lineRule="auto"/>
        <w:jc w:val="both"/>
        <w:rPr>
          <w:rFonts w:ascii="Arial" w:hAnsi="Arial" w:cs="Arial"/>
          <w:b/>
        </w:rPr>
      </w:pPr>
    </w:p>
    <w:p w:rsidR="00AB150C" w:rsidRDefault="00AB150C" w:rsidP="00634ED7">
      <w:pPr>
        <w:spacing w:after="0" w:line="240" w:lineRule="auto"/>
        <w:jc w:val="both"/>
        <w:rPr>
          <w:rFonts w:ascii="Arial" w:hAnsi="Arial" w:cs="Arial"/>
          <w:b/>
          <w:sz w:val="28"/>
          <w:szCs w:val="28"/>
        </w:rPr>
      </w:pPr>
      <w:r w:rsidRPr="00634ED7">
        <w:rPr>
          <w:rFonts w:ascii="Arial" w:hAnsi="Arial" w:cs="Arial"/>
          <w:b/>
          <w:sz w:val="28"/>
          <w:szCs w:val="28"/>
        </w:rPr>
        <w:t>Programas educativos no evaluables</w:t>
      </w:r>
    </w:p>
    <w:p w:rsidR="00403A5C" w:rsidRPr="00634ED7" w:rsidRDefault="00403A5C" w:rsidP="00634ED7">
      <w:pPr>
        <w:spacing w:after="0" w:line="240" w:lineRule="auto"/>
        <w:jc w:val="both"/>
        <w:rPr>
          <w:rFonts w:ascii="Arial" w:hAnsi="Arial" w:cs="Arial"/>
          <w:b/>
          <w:sz w:val="28"/>
          <w:szCs w:val="28"/>
        </w:rPr>
      </w:pPr>
    </w:p>
    <w:p w:rsidR="00AB150C" w:rsidRPr="003420CA" w:rsidRDefault="00AB150C" w:rsidP="00634ED7">
      <w:pPr>
        <w:spacing w:after="0" w:line="240" w:lineRule="auto"/>
        <w:jc w:val="both"/>
        <w:rPr>
          <w:rFonts w:ascii="Arial" w:hAnsi="Arial" w:cs="Arial"/>
        </w:rPr>
      </w:pPr>
      <w:r w:rsidRPr="003420CA">
        <w:rPr>
          <w:rFonts w:ascii="Arial" w:hAnsi="Arial" w:cs="Arial"/>
        </w:rPr>
        <w:t>Son los PE que cumplen con alguna de las siguientes condiciones:</w:t>
      </w:r>
    </w:p>
    <w:p w:rsidR="00AB150C" w:rsidRPr="003420CA" w:rsidRDefault="00AB150C" w:rsidP="00634ED7">
      <w:pPr>
        <w:pStyle w:val="Prrafodelista"/>
        <w:numPr>
          <w:ilvl w:val="0"/>
          <w:numId w:val="11"/>
        </w:numPr>
        <w:spacing w:after="0" w:line="240" w:lineRule="auto"/>
        <w:jc w:val="both"/>
        <w:rPr>
          <w:rFonts w:ascii="Arial" w:hAnsi="Arial" w:cs="Arial"/>
        </w:rPr>
      </w:pPr>
      <w:r w:rsidRPr="003420CA">
        <w:rPr>
          <w:rFonts w:ascii="Arial" w:hAnsi="Arial" w:cs="Arial"/>
        </w:rPr>
        <w:t>Son de</w:t>
      </w:r>
      <w:r w:rsidR="00DA3F3B" w:rsidRPr="003420CA">
        <w:rPr>
          <w:rFonts w:ascii="Arial" w:hAnsi="Arial" w:cs="Arial"/>
        </w:rPr>
        <w:t xml:space="preserve"> reciente creación (sin egresado</w:t>
      </w:r>
      <w:r w:rsidRPr="003420CA">
        <w:rPr>
          <w:rFonts w:ascii="Arial" w:hAnsi="Arial" w:cs="Arial"/>
        </w:rPr>
        <w:t>s)</w:t>
      </w:r>
      <w:r w:rsidR="00DA3F3B" w:rsidRPr="003420CA">
        <w:rPr>
          <w:rFonts w:ascii="Arial" w:hAnsi="Arial" w:cs="Arial"/>
        </w:rPr>
        <w:t>.</w:t>
      </w:r>
    </w:p>
    <w:p w:rsidR="00AB150C" w:rsidRPr="003420CA" w:rsidRDefault="00AB150C" w:rsidP="00634ED7">
      <w:pPr>
        <w:pStyle w:val="Prrafodelista"/>
        <w:numPr>
          <w:ilvl w:val="0"/>
          <w:numId w:val="12"/>
        </w:numPr>
        <w:spacing w:after="0" w:line="240" w:lineRule="auto"/>
        <w:jc w:val="both"/>
        <w:rPr>
          <w:rFonts w:ascii="Arial" w:hAnsi="Arial" w:cs="Arial"/>
        </w:rPr>
      </w:pPr>
      <w:r w:rsidRPr="003420CA">
        <w:rPr>
          <w:rFonts w:ascii="Arial" w:hAnsi="Arial" w:cs="Arial"/>
        </w:rPr>
        <w:t>Que hayan sido cancelados o se encuentran en proceso de liquidación. Estas decisiones deben haber sido avaladas por el órgano colegiado competente.</w:t>
      </w:r>
    </w:p>
    <w:p w:rsidR="00AB150C" w:rsidRPr="003420CA" w:rsidRDefault="00AB150C" w:rsidP="00634ED7">
      <w:pPr>
        <w:spacing w:after="0" w:line="240" w:lineRule="auto"/>
        <w:jc w:val="both"/>
        <w:rPr>
          <w:rFonts w:ascii="Arial" w:hAnsi="Arial" w:cs="Arial"/>
        </w:rPr>
      </w:pPr>
      <w:r w:rsidRPr="003420CA">
        <w:rPr>
          <w:rFonts w:ascii="Arial" w:hAnsi="Arial" w:cs="Arial"/>
        </w:rPr>
        <w:t>La oferta total de una institución se conforma por los PE evaluables y los no evaluables.</w:t>
      </w:r>
    </w:p>
    <w:p w:rsidR="00AB150C" w:rsidRPr="003420CA" w:rsidRDefault="00AB150C" w:rsidP="00634ED7">
      <w:pPr>
        <w:spacing w:after="0" w:line="240" w:lineRule="auto"/>
        <w:jc w:val="both"/>
        <w:rPr>
          <w:rFonts w:ascii="Arial" w:hAnsi="Arial" w:cs="Arial"/>
        </w:rPr>
      </w:pPr>
    </w:p>
    <w:p w:rsidR="00AB150C" w:rsidRPr="00634ED7" w:rsidRDefault="00AB150C" w:rsidP="00634ED7">
      <w:pPr>
        <w:spacing w:after="0" w:line="240" w:lineRule="auto"/>
        <w:jc w:val="both"/>
        <w:rPr>
          <w:rFonts w:ascii="Arial" w:hAnsi="Arial" w:cs="Arial"/>
          <w:b/>
          <w:sz w:val="28"/>
        </w:rPr>
      </w:pPr>
      <w:r w:rsidRPr="00634ED7">
        <w:rPr>
          <w:rFonts w:ascii="Arial" w:hAnsi="Arial" w:cs="Arial"/>
          <w:b/>
          <w:sz w:val="28"/>
        </w:rPr>
        <w:t>Tasa de egreso de un programa educativo por cohorte* (TEC):</w:t>
      </w:r>
    </w:p>
    <w:p w:rsidR="00A074BC" w:rsidRPr="003420CA" w:rsidRDefault="00A074BC" w:rsidP="00634ED7">
      <w:pPr>
        <w:spacing w:after="0" w:line="240" w:lineRule="auto"/>
        <w:jc w:val="both"/>
        <w:rPr>
          <w:rFonts w:ascii="Arial" w:hAnsi="Arial" w:cs="Arial"/>
          <w:b/>
        </w:rPr>
      </w:pPr>
    </w:p>
    <w:p w:rsidR="003D398C" w:rsidRPr="003420CA" w:rsidRDefault="00AB150C" w:rsidP="00634ED7">
      <w:pPr>
        <w:spacing w:after="0" w:line="240" w:lineRule="auto"/>
        <w:ind w:left="708"/>
        <w:jc w:val="both"/>
        <w:rPr>
          <w:rFonts w:ascii="Arial" w:hAnsi="Arial" w:cs="Arial"/>
        </w:rPr>
      </w:pPr>
      <w:r w:rsidRPr="003420CA">
        <w:rPr>
          <w:rFonts w:ascii="Arial" w:hAnsi="Arial" w:cs="Arial"/>
        </w:rPr>
        <w:t>Porcentaje de estudiantes de una cohorte que han cubierto en el tiempo establecido formalmente en el plan de estudios, la totalidad de requisitos académicos de un programa educativo, tales como las asignaturas o créditos, en algunos casos el servicio social, etc.</w:t>
      </w:r>
    </w:p>
    <w:tbl>
      <w:tblPr>
        <w:tblW w:w="9332" w:type="dxa"/>
        <w:tblCellMar>
          <w:left w:w="0" w:type="dxa"/>
          <w:right w:w="0" w:type="dxa"/>
        </w:tblCellMar>
        <w:tblLook w:val="0600" w:firstRow="0" w:lastRow="0" w:firstColumn="0" w:lastColumn="0" w:noHBand="1" w:noVBand="1"/>
      </w:tblPr>
      <w:tblGrid>
        <w:gridCol w:w="696"/>
        <w:gridCol w:w="8636"/>
      </w:tblGrid>
      <w:tr w:rsidR="003D398C" w:rsidRPr="003420CA" w:rsidTr="003D398C">
        <w:trPr>
          <w:trHeight w:val="162"/>
        </w:trPr>
        <w:tc>
          <w:tcPr>
            <w:tcW w:w="696" w:type="dxa"/>
            <w:vMerge w:val="restart"/>
            <w:tcBorders>
              <w:top w:val="nil"/>
              <w:left w:val="nil"/>
              <w:bottom w:val="nil"/>
              <w:right w:val="nil"/>
            </w:tcBorders>
            <w:shd w:val="clear" w:color="auto" w:fill="auto"/>
            <w:tcMar>
              <w:top w:w="15" w:type="dxa"/>
              <w:left w:w="15" w:type="dxa"/>
              <w:bottom w:w="0" w:type="dxa"/>
              <w:right w:w="15" w:type="dxa"/>
            </w:tcMar>
            <w:vAlign w:val="center"/>
            <w:hideMark/>
          </w:tcPr>
          <w:p w:rsidR="003D398C" w:rsidRPr="003420CA" w:rsidRDefault="003D398C" w:rsidP="00634ED7">
            <w:pPr>
              <w:spacing w:after="0" w:line="240" w:lineRule="auto"/>
              <w:jc w:val="both"/>
              <w:rPr>
                <w:rFonts w:ascii="Arial" w:hAnsi="Arial" w:cs="Arial"/>
              </w:rPr>
            </w:pPr>
            <w:r w:rsidRPr="003420CA">
              <w:rPr>
                <w:rFonts w:ascii="Arial" w:hAnsi="Arial" w:cs="Arial"/>
                <w:b/>
                <w:bCs/>
                <w:i/>
                <w:iCs/>
              </w:rPr>
              <w:lastRenderedPageBreak/>
              <w:t>TEC</w:t>
            </w:r>
            <w:r w:rsidRPr="003420CA">
              <w:rPr>
                <w:rFonts w:ascii="Arial" w:hAnsi="Arial" w:cs="Arial"/>
                <w:i/>
                <w:iCs/>
              </w:rPr>
              <w:t xml:space="preserve"> =</w:t>
            </w:r>
          </w:p>
        </w:tc>
        <w:tc>
          <w:tcPr>
            <w:tcW w:w="8636"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3D398C" w:rsidRPr="003420CA" w:rsidRDefault="003D398C" w:rsidP="00634ED7">
            <w:pPr>
              <w:spacing w:after="0" w:line="240" w:lineRule="auto"/>
              <w:jc w:val="both"/>
              <w:rPr>
                <w:rFonts w:ascii="Arial" w:hAnsi="Arial" w:cs="Arial"/>
              </w:rPr>
            </w:pPr>
            <w:r w:rsidRPr="003420CA">
              <w:rPr>
                <w:rFonts w:ascii="Arial" w:hAnsi="Arial" w:cs="Arial"/>
                <w:i/>
                <w:iCs/>
              </w:rPr>
              <w:t>Número de estudiantes de una cohorte que egresan en el tiempo formalmente establecido (</w:t>
            </w:r>
            <w:r w:rsidRPr="003420CA">
              <w:rPr>
                <w:rFonts w:ascii="Arial" w:hAnsi="Arial" w:cs="Arial"/>
                <w:b/>
                <w:bCs/>
                <w:i/>
                <w:iCs/>
              </w:rPr>
              <w:t>NEeC</w:t>
            </w:r>
            <w:r w:rsidRPr="003420CA">
              <w:rPr>
                <w:rFonts w:ascii="Arial" w:hAnsi="Arial" w:cs="Arial"/>
                <w:i/>
                <w:iCs/>
              </w:rPr>
              <w:t>)</w:t>
            </w:r>
          </w:p>
        </w:tc>
      </w:tr>
      <w:tr w:rsidR="003D398C" w:rsidRPr="003420CA" w:rsidTr="003D398C">
        <w:trPr>
          <w:trHeight w:val="208"/>
        </w:trPr>
        <w:tc>
          <w:tcPr>
            <w:tcW w:w="0" w:type="auto"/>
            <w:vMerge/>
            <w:tcBorders>
              <w:top w:val="nil"/>
              <w:left w:val="nil"/>
              <w:bottom w:val="nil"/>
              <w:right w:val="nil"/>
            </w:tcBorders>
            <w:vAlign w:val="center"/>
            <w:hideMark/>
          </w:tcPr>
          <w:p w:rsidR="003D398C" w:rsidRPr="003420CA" w:rsidRDefault="003D398C" w:rsidP="00634ED7">
            <w:pPr>
              <w:spacing w:after="0" w:line="240" w:lineRule="auto"/>
              <w:jc w:val="both"/>
              <w:rPr>
                <w:rFonts w:ascii="Arial" w:hAnsi="Arial" w:cs="Arial"/>
              </w:rPr>
            </w:pPr>
          </w:p>
        </w:tc>
        <w:tc>
          <w:tcPr>
            <w:tcW w:w="8636"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3D398C" w:rsidRPr="003420CA" w:rsidRDefault="003D398C" w:rsidP="00634ED7">
            <w:pPr>
              <w:spacing w:after="0" w:line="240" w:lineRule="auto"/>
              <w:jc w:val="both"/>
              <w:rPr>
                <w:rFonts w:ascii="Arial" w:hAnsi="Arial" w:cs="Arial"/>
              </w:rPr>
            </w:pPr>
            <w:r w:rsidRPr="003420CA">
              <w:rPr>
                <w:rFonts w:ascii="Arial" w:hAnsi="Arial" w:cs="Arial"/>
                <w:i/>
                <w:iCs/>
              </w:rPr>
              <w:t>Número de estudiantes inscritos en esa cohorte (</w:t>
            </w:r>
            <w:r w:rsidRPr="003420CA">
              <w:rPr>
                <w:rFonts w:ascii="Arial" w:hAnsi="Arial" w:cs="Arial"/>
                <w:b/>
                <w:bCs/>
                <w:i/>
                <w:iCs/>
              </w:rPr>
              <w:t>NE</w:t>
            </w:r>
            <w:r w:rsidRPr="003420CA">
              <w:rPr>
                <w:rFonts w:ascii="Arial" w:hAnsi="Arial" w:cs="Arial"/>
                <w:b/>
                <w:bCs/>
                <w:i/>
                <w:iCs/>
                <w:vertAlign w:val="subscript"/>
              </w:rPr>
              <w:t>i</w:t>
            </w:r>
            <w:r w:rsidRPr="003420CA">
              <w:rPr>
                <w:rFonts w:ascii="Arial" w:hAnsi="Arial" w:cs="Arial"/>
                <w:b/>
                <w:bCs/>
                <w:i/>
                <w:iCs/>
              </w:rPr>
              <w:t>C</w:t>
            </w:r>
            <w:r w:rsidRPr="003420CA">
              <w:rPr>
                <w:rFonts w:ascii="Arial" w:hAnsi="Arial" w:cs="Arial"/>
                <w:i/>
                <w:iCs/>
              </w:rPr>
              <w:t>)</w:t>
            </w:r>
          </w:p>
        </w:tc>
      </w:tr>
    </w:tbl>
    <w:p w:rsidR="00AB150C" w:rsidRPr="003420CA" w:rsidRDefault="00AB150C" w:rsidP="00634ED7">
      <w:pPr>
        <w:spacing w:after="0" w:line="240" w:lineRule="auto"/>
        <w:jc w:val="both"/>
        <w:rPr>
          <w:rFonts w:ascii="Arial" w:hAnsi="Arial" w:cs="Arial"/>
        </w:rPr>
      </w:pPr>
    </w:p>
    <w:p w:rsidR="00AB150C" w:rsidRPr="00634ED7" w:rsidRDefault="00AB150C" w:rsidP="00634ED7">
      <w:pPr>
        <w:spacing w:after="0" w:line="240" w:lineRule="auto"/>
        <w:jc w:val="both"/>
        <w:rPr>
          <w:rFonts w:ascii="Arial" w:hAnsi="Arial" w:cs="Arial"/>
          <w:b/>
          <w:sz w:val="28"/>
        </w:rPr>
      </w:pPr>
      <w:r w:rsidRPr="00634ED7">
        <w:rPr>
          <w:rFonts w:ascii="Arial" w:hAnsi="Arial" w:cs="Arial"/>
          <w:b/>
          <w:sz w:val="28"/>
        </w:rPr>
        <w:t>Tasa de titulación de un programa educativo por cohorte (TTC):</w:t>
      </w:r>
    </w:p>
    <w:p w:rsidR="00A074BC" w:rsidRPr="003420CA" w:rsidRDefault="00A074BC" w:rsidP="00634ED7">
      <w:pPr>
        <w:spacing w:after="0" w:line="240" w:lineRule="auto"/>
        <w:jc w:val="both"/>
        <w:rPr>
          <w:rFonts w:ascii="Arial" w:hAnsi="Arial" w:cs="Arial"/>
          <w:b/>
        </w:rPr>
      </w:pPr>
    </w:p>
    <w:p w:rsidR="00AB150C" w:rsidRPr="003420CA" w:rsidRDefault="00AB150C" w:rsidP="00634ED7">
      <w:pPr>
        <w:spacing w:after="0" w:line="240" w:lineRule="auto"/>
        <w:ind w:left="708"/>
        <w:jc w:val="both"/>
        <w:rPr>
          <w:rFonts w:ascii="Arial" w:hAnsi="Arial" w:cs="Arial"/>
        </w:rPr>
      </w:pPr>
      <w:r w:rsidRPr="003420CA">
        <w:rPr>
          <w:rFonts w:ascii="Arial" w:hAnsi="Arial" w:cs="Arial"/>
        </w:rPr>
        <w:t xml:space="preserve">Porcentaje de estudiantes titulados por cohorte (considerando un año adicional a la duración formalmente establecida en el plan de estudios). Esta tasa se calcula determinando el número de estudiantes que se titulan del total de </w:t>
      </w:r>
      <w:r w:rsidR="00DA3F3B" w:rsidRPr="003420CA">
        <w:rPr>
          <w:rFonts w:ascii="Arial" w:hAnsi="Arial" w:cs="Arial"/>
        </w:rPr>
        <w:t>egresados</w:t>
      </w:r>
      <w:r w:rsidRPr="003420CA">
        <w:rPr>
          <w:rFonts w:ascii="Arial" w:hAnsi="Arial" w:cs="Arial"/>
        </w:rPr>
        <w:t xml:space="preserve"> por cohorte </w:t>
      </w:r>
      <w:r w:rsidR="00DA3F3B" w:rsidRPr="003420CA">
        <w:rPr>
          <w:rFonts w:ascii="Arial" w:hAnsi="Arial" w:cs="Arial"/>
        </w:rPr>
        <w:t xml:space="preserve"> </w:t>
      </w:r>
      <w:r w:rsidR="003D398C" w:rsidRPr="003420CA">
        <w:rPr>
          <w:rFonts w:ascii="Arial" w:hAnsi="Arial" w:cs="Arial"/>
          <w:bCs/>
          <w:i/>
          <w:iCs/>
        </w:rPr>
        <w:t>(NE</w:t>
      </w:r>
      <w:r w:rsidR="003D398C" w:rsidRPr="003420CA">
        <w:rPr>
          <w:rFonts w:ascii="Arial" w:hAnsi="Arial" w:cs="Arial"/>
          <w:bCs/>
          <w:i/>
          <w:iCs/>
          <w:vertAlign w:val="subscript"/>
        </w:rPr>
        <w:t>e</w:t>
      </w:r>
      <w:r w:rsidR="003D398C" w:rsidRPr="003420CA">
        <w:rPr>
          <w:rFonts w:ascii="Arial" w:hAnsi="Arial" w:cs="Arial"/>
          <w:bCs/>
          <w:i/>
          <w:iCs/>
        </w:rPr>
        <w:t>C)</w:t>
      </w:r>
      <w:r w:rsidR="00DA3F3B" w:rsidRPr="003420CA">
        <w:rPr>
          <w:rFonts w:ascii="Arial" w:hAnsi="Arial" w:cs="Arial"/>
        </w:rPr>
        <w:t xml:space="preserve">, entre el número total de estudiantes inscritos en esa cohorte </w:t>
      </w:r>
      <w:r w:rsidR="003D398C" w:rsidRPr="003420CA">
        <w:rPr>
          <w:rFonts w:ascii="Arial" w:hAnsi="Arial" w:cs="Arial"/>
          <w:bCs/>
          <w:lang w:val="es-ES"/>
        </w:rPr>
        <w:t>(NE</w:t>
      </w:r>
      <w:r w:rsidR="003D398C" w:rsidRPr="003420CA">
        <w:rPr>
          <w:rFonts w:ascii="Arial" w:hAnsi="Arial" w:cs="Arial"/>
          <w:bCs/>
          <w:vertAlign w:val="subscript"/>
          <w:lang w:val="es-ES"/>
        </w:rPr>
        <w:t>i</w:t>
      </w:r>
      <w:r w:rsidR="003D398C" w:rsidRPr="003420CA">
        <w:rPr>
          <w:rFonts w:ascii="Arial" w:hAnsi="Arial" w:cs="Arial"/>
          <w:bCs/>
          <w:lang w:val="es-ES"/>
        </w:rPr>
        <w:t>C).</w:t>
      </w:r>
      <w:r w:rsidR="00DA3F3B" w:rsidRPr="003420CA">
        <w:rPr>
          <w:rFonts w:ascii="Arial" w:hAnsi="Arial" w:cs="Arial"/>
        </w:rPr>
        <w:t xml:space="preserve"> De manera TTC  TEC.</w:t>
      </w:r>
    </w:p>
    <w:tbl>
      <w:tblPr>
        <w:tblW w:w="9015" w:type="dxa"/>
        <w:jc w:val="center"/>
        <w:tblCellMar>
          <w:left w:w="0" w:type="dxa"/>
          <w:right w:w="0" w:type="dxa"/>
        </w:tblCellMar>
        <w:tblLook w:val="0600" w:firstRow="0" w:lastRow="0" w:firstColumn="0" w:lastColumn="0" w:noHBand="1" w:noVBand="1"/>
      </w:tblPr>
      <w:tblGrid>
        <w:gridCol w:w="1043"/>
        <w:gridCol w:w="7972"/>
      </w:tblGrid>
      <w:tr w:rsidR="003D398C" w:rsidRPr="003420CA" w:rsidTr="003D398C">
        <w:trPr>
          <w:trHeight w:val="86"/>
          <w:jc w:val="center"/>
        </w:trPr>
        <w:tc>
          <w:tcPr>
            <w:tcW w:w="1043" w:type="dxa"/>
            <w:vMerge w:val="restart"/>
            <w:tcBorders>
              <w:top w:val="nil"/>
              <w:left w:val="nil"/>
              <w:bottom w:val="nil"/>
              <w:right w:val="nil"/>
            </w:tcBorders>
            <w:shd w:val="clear" w:color="auto" w:fill="auto"/>
            <w:tcMar>
              <w:top w:w="15" w:type="dxa"/>
              <w:left w:w="15" w:type="dxa"/>
              <w:bottom w:w="0" w:type="dxa"/>
              <w:right w:w="15" w:type="dxa"/>
            </w:tcMar>
            <w:vAlign w:val="center"/>
            <w:hideMark/>
          </w:tcPr>
          <w:p w:rsidR="003D398C" w:rsidRPr="003420CA" w:rsidRDefault="003D398C" w:rsidP="00634ED7">
            <w:pPr>
              <w:spacing w:after="0" w:line="240" w:lineRule="auto"/>
              <w:jc w:val="both"/>
              <w:rPr>
                <w:rFonts w:ascii="Arial" w:hAnsi="Arial" w:cs="Arial"/>
                <w:b/>
                <w:bCs/>
                <w:i/>
                <w:iCs/>
              </w:rPr>
            </w:pPr>
            <w:r w:rsidRPr="003420CA">
              <w:rPr>
                <w:rFonts w:ascii="Arial" w:hAnsi="Arial" w:cs="Arial"/>
                <w:b/>
                <w:bCs/>
                <w:i/>
                <w:iCs/>
              </w:rPr>
              <w:t>TTC =</w:t>
            </w:r>
          </w:p>
        </w:tc>
        <w:tc>
          <w:tcPr>
            <w:tcW w:w="7972"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3D398C" w:rsidRPr="003420CA" w:rsidRDefault="003D398C" w:rsidP="00634ED7">
            <w:pPr>
              <w:spacing w:after="0" w:line="240" w:lineRule="auto"/>
              <w:jc w:val="both"/>
              <w:rPr>
                <w:rFonts w:ascii="Arial" w:hAnsi="Arial" w:cs="Arial"/>
                <w:bCs/>
                <w:i/>
                <w:iCs/>
              </w:rPr>
            </w:pPr>
            <w:r w:rsidRPr="003420CA">
              <w:rPr>
                <w:rFonts w:ascii="Arial" w:hAnsi="Arial" w:cs="Arial"/>
                <w:bCs/>
                <w:i/>
                <w:iCs/>
              </w:rPr>
              <w:t>Número de estudiantes que se titulan por cohorte (considerando un año adicional a la duración del PE)</w:t>
            </w:r>
          </w:p>
        </w:tc>
      </w:tr>
      <w:tr w:rsidR="003D398C" w:rsidRPr="003420CA" w:rsidTr="003D398C">
        <w:trPr>
          <w:trHeight w:val="125"/>
          <w:jc w:val="center"/>
        </w:trPr>
        <w:tc>
          <w:tcPr>
            <w:tcW w:w="0" w:type="auto"/>
            <w:vMerge/>
            <w:tcBorders>
              <w:top w:val="nil"/>
              <w:left w:val="nil"/>
              <w:bottom w:val="nil"/>
              <w:right w:val="nil"/>
            </w:tcBorders>
            <w:vAlign w:val="center"/>
            <w:hideMark/>
          </w:tcPr>
          <w:p w:rsidR="003D398C" w:rsidRPr="003420CA" w:rsidRDefault="003D398C" w:rsidP="00634ED7">
            <w:pPr>
              <w:spacing w:after="0" w:line="240" w:lineRule="auto"/>
              <w:jc w:val="both"/>
              <w:rPr>
                <w:rFonts w:ascii="Arial" w:hAnsi="Arial" w:cs="Arial"/>
                <w:b/>
                <w:bCs/>
                <w:i/>
                <w:iCs/>
              </w:rPr>
            </w:pPr>
          </w:p>
        </w:tc>
        <w:tc>
          <w:tcPr>
            <w:tcW w:w="7972"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3D398C" w:rsidRPr="003420CA" w:rsidRDefault="003D398C" w:rsidP="00634ED7">
            <w:pPr>
              <w:spacing w:after="0" w:line="240" w:lineRule="auto"/>
              <w:jc w:val="both"/>
              <w:rPr>
                <w:rFonts w:ascii="Arial" w:hAnsi="Arial" w:cs="Arial"/>
                <w:bCs/>
                <w:i/>
                <w:iCs/>
              </w:rPr>
            </w:pPr>
            <w:r w:rsidRPr="003420CA">
              <w:rPr>
                <w:rFonts w:ascii="Arial" w:hAnsi="Arial" w:cs="Arial"/>
                <w:bCs/>
                <w:i/>
                <w:iCs/>
              </w:rPr>
              <w:t xml:space="preserve">Número total de estudiantes inscritos en esa cohorte. </w:t>
            </w:r>
            <w:r w:rsidRPr="003420CA">
              <w:rPr>
                <w:rFonts w:ascii="Arial" w:hAnsi="Arial" w:cs="Arial"/>
                <w:bCs/>
                <w:i/>
                <w:iCs/>
                <w:lang w:val="es-ES"/>
              </w:rPr>
              <w:t>(NE</w:t>
            </w:r>
            <w:r w:rsidRPr="003420CA">
              <w:rPr>
                <w:rFonts w:ascii="Arial" w:hAnsi="Arial" w:cs="Arial"/>
                <w:bCs/>
                <w:i/>
                <w:iCs/>
                <w:vertAlign w:val="subscript"/>
                <w:lang w:val="es-ES"/>
              </w:rPr>
              <w:t>i</w:t>
            </w:r>
            <w:r w:rsidRPr="003420CA">
              <w:rPr>
                <w:rFonts w:ascii="Arial" w:hAnsi="Arial" w:cs="Arial"/>
                <w:bCs/>
                <w:i/>
                <w:iCs/>
                <w:lang w:val="es-ES"/>
              </w:rPr>
              <w:t>C).</w:t>
            </w:r>
          </w:p>
        </w:tc>
      </w:tr>
    </w:tbl>
    <w:p w:rsidR="00DA3F3B" w:rsidRPr="003420CA" w:rsidRDefault="00DA3F3B" w:rsidP="00634ED7">
      <w:pPr>
        <w:spacing w:after="0" w:line="240" w:lineRule="auto"/>
        <w:ind w:left="708"/>
        <w:jc w:val="both"/>
        <w:rPr>
          <w:rFonts w:ascii="Arial" w:hAnsi="Arial" w:cs="Arial"/>
        </w:rPr>
      </w:pPr>
    </w:p>
    <w:p w:rsidR="00DA3F3B" w:rsidRPr="003420CA" w:rsidRDefault="00DA3F3B" w:rsidP="00634ED7">
      <w:pPr>
        <w:spacing w:after="0" w:line="240" w:lineRule="auto"/>
        <w:ind w:left="708"/>
        <w:jc w:val="both"/>
        <w:rPr>
          <w:rFonts w:ascii="Arial" w:hAnsi="Arial" w:cs="Arial"/>
        </w:rPr>
      </w:pPr>
      <w:r w:rsidRPr="003420CA">
        <w:rPr>
          <w:rFonts w:ascii="Arial" w:hAnsi="Arial" w:cs="Arial"/>
        </w:rPr>
        <w:t>*Cohorte. Grupo de alumnos que inician sus estudios en un programa educativo al mismo tiempo, es decir, en el mismo periodo escolar (generación).</w:t>
      </w:r>
    </w:p>
    <w:p w:rsidR="00AB150C" w:rsidRPr="003420CA" w:rsidRDefault="00AB150C" w:rsidP="00634ED7">
      <w:pPr>
        <w:spacing w:after="0" w:line="240" w:lineRule="auto"/>
        <w:jc w:val="both"/>
        <w:rPr>
          <w:rFonts w:ascii="Arial" w:hAnsi="Arial" w:cs="Arial"/>
        </w:rPr>
      </w:pPr>
    </w:p>
    <w:p w:rsidR="00AB150C" w:rsidRPr="003420CA" w:rsidRDefault="00AB150C" w:rsidP="00634ED7">
      <w:pPr>
        <w:spacing w:after="0" w:line="240" w:lineRule="auto"/>
        <w:jc w:val="both"/>
        <w:rPr>
          <w:rFonts w:ascii="Arial" w:hAnsi="Arial" w:cs="Arial"/>
        </w:rPr>
      </w:pPr>
    </w:p>
    <w:p w:rsidR="00AB150C" w:rsidRPr="003420CA" w:rsidRDefault="00AB150C" w:rsidP="00634ED7">
      <w:pPr>
        <w:spacing w:after="0" w:line="240" w:lineRule="auto"/>
        <w:jc w:val="both"/>
        <w:rPr>
          <w:rFonts w:ascii="Arial" w:hAnsi="Arial" w:cs="Arial"/>
        </w:rPr>
      </w:pPr>
    </w:p>
    <w:p w:rsidR="003011D3" w:rsidRPr="003420CA" w:rsidRDefault="003011D3" w:rsidP="00634ED7">
      <w:pPr>
        <w:spacing w:after="0" w:line="240" w:lineRule="auto"/>
        <w:jc w:val="both"/>
        <w:rPr>
          <w:rFonts w:ascii="Arial" w:hAnsi="Arial" w:cs="Arial"/>
        </w:rPr>
      </w:pPr>
    </w:p>
    <w:sectPr w:rsidR="003011D3" w:rsidRPr="003420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E6D" w:rsidRDefault="00B75E6D" w:rsidP="001F53FA">
      <w:pPr>
        <w:spacing w:after="0" w:line="240" w:lineRule="auto"/>
      </w:pPr>
      <w:r>
        <w:separator/>
      </w:r>
    </w:p>
  </w:endnote>
  <w:endnote w:type="continuationSeparator" w:id="0">
    <w:p w:rsidR="00B75E6D" w:rsidRDefault="00B75E6D" w:rsidP="001F5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7478658"/>
      <w:docPartObj>
        <w:docPartGallery w:val="Page Numbers (Bottom of Page)"/>
        <w:docPartUnique/>
      </w:docPartObj>
    </w:sdtPr>
    <w:sdtEndPr/>
    <w:sdtContent>
      <w:p w:rsidR="003420CA" w:rsidRDefault="003420CA">
        <w:pPr>
          <w:pStyle w:val="Piedepgina"/>
          <w:jc w:val="right"/>
        </w:pPr>
        <w:r>
          <w:fldChar w:fldCharType="begin"/>
        </w:r>
        <w:r>
          <w:instrText>PAGE   \* MERGEFORMAT</w:instrText>
        </w:r>
        <w:r>
          <w:fldChar w:fldCharType="separate"/>
        </w:r>
        <w:r w:rsidR="00634ED7" w:rsidRPr="00634ED7">
          <w:rPr>
            <w:noProof/>
            <w:lang w:val="es-ES"/>
          </w:rPr>
          <w:t>3</w:t>
        </w:r>
        <w:r>
          <w:fldChar w:fldCharType="end"/>
        </w:r>
      </w:p>
    </w:sdtContent>
  </w:sdt>
  <w:p w:rsidR="003420CA" w:rsidRDefault="003420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E6D" w:rsidRDefault="00B75E6D" w:rsidP="001F53FA">
      <w:pPr>
        <w:spacing w:after="0" w:line="240" w:lineRule="auto"/>
      </w:pPr>
      <w:r>
        <w:separator/>
      </w:r>
    </w:p>
  </w:footnote>
  <w:footnote w:type="continuationSeparator" w:id="0">
    <w:p w:rsidR="00B75E6D" w:rsidRDefault="00B75E6D" w:rsidP="001F5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A" w:rsidRDefault="001F53FA">
    <w:pPr>
      <w:pStyle w:val="Encabezado"/>
    </w:pPr>
    <w:r w:rsidRPr="005F0181">
      <w:rPr>
        <w:rFonts w:ascii="Arial" w:hAnsi="Arial" w:cs="Arial"/>
        <w:noProof/>
        <w:lang w:eastAsia="es-MX"/>
      </w:rPr>
      <w:drawing>
        <wp:anchor distT="0" distB="0" distL="114300" distR="114300" simplePos="0" relativeHeight="251659264" behindDoc="1" locked="0" layoutInCell="1" allowOverlap="1" wp14:anchorId="4D402E4F" wp14:editId="323D7AC5">
          <wp:simplePos x="0" y="0"/>
          <wp:positionH relativeFrom="column">
            <wp:posOffset>0</wp:posOffset>
          </wp:positionH>
          <wp:positionV relativeFrom="paragraph">
            <wp:posOffset>-321153</wp:posOffset>
          </wp:positionV>
          <wp:extent cx="2391410" cy="756285"/>
          <wp:effectExtent l="0" t="0" r="8890" b="5715"/>
          <wp:wrapThrough wrapText="bothSides">
            <wp:wrapPolygon edited="0">
              <wp:start x="0" y="0"/>
              <wp:lineTo x="0" y="21219"/>
              <wp:lineTo x="21508" y="21219"/>
              <wp:lineTo x="21508" y="0"/>
              <wp:lineTo x="0" y="0"/>
            </wp:wrapPolygon>
          </wp:wrapThrough>
          <wp:docPr id="1" name="Imagen 3" descr="C:\Users\juan.hernandez\Desktop\FormatoPapeleria\HORIZONTAL\SEP_horizontal_AL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juan.hernandez\Desktop\FormatoPapeleria\HORIZONTAL\SEP_horizontal_ALTA-01.jpg"/>
                  <pic:cNvPicPr>
                    <a:picLocks noChangeAspect="1" noChangeArrowheads="1"/>
                  </pic:cNvPicPr>
                </pic:nvPicPr>
                <pic:blipFill>
                  <a:blip r:embed="rId1" cstate="print">
                    <a:extLst>
                      <a:ext uri="{28A0092B-C50C-407E-A947-70E740481C1C}">
                        <a14:useLocalDpi xmlns:a14="http://schemas.microsoft.com/office/drawing/2010/main" val="0"/>
                      </a:ext>
                    </a:extLst>
                  </a:blip>
                  <a:srcRect l="3998" t="23715" b="36955"/>
                  <a:stretch>
                    <a:fillRect/>
                  </a:stretch>
                </pic:blipFill>
                <pic:spPr bwMode="auto">
                  <a:xfrm>
                    <a:off x="0" y="0"/>
                    <a:ext cx="2391410" cy="756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3062"/>
    <w:multiLevelType w:val="hybridMultilevel"/>
    <w:tmpl w:val="B608E7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D73737"/>
    <w:multiLevelType w:val="hybridMultilevel"/>
    <w:tmpl w:val="0D444134"/>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8371B71"/>
    <w:multiLevelType w:val="hybridMultilevel"/>
    <w:tmpl w:val="6BF87C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151FC9"/>
    <w:multiLevelType w:val="hybridMultilevel"/>
    <w:tmpl w:val="356013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8B394F"/>
    <w:multiLevelType w:val="hybridMultilevel"/>
    <w:tmpl w:val="560C84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46064C"/>
    <w:multiLevelType w:val="hybridMultilevel"/>
    <w:tmpl w:val="94A022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A0005B3"/>
    <w:multiLevelType w:val="hybridMultilevel"/>
    <w:tmpl w:val="A73636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01F407E"/>
    <w:multiLevelType w:val="hybridMultilevel"/>
    <w:tmpl w:val="E966B028"/>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61EB43F1"/>
    <w:multiLevelType w:val="hybridMultilevel"/>
    <w:tmpl w:val="8B026F9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B62272"/>
    <w:multiLevelType w:val="hybridMultilevel"/>
    <w:tmpl w:val="46FC9F90"/>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6AAF0C45"/>
    <w:multiLevelType w:val="hybridMultilevel"/>
    <w:tmpl w:val="CF5CA5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716211"/>
    <w:multiLevelType w:val="hybridMultilevel"/>
    <w:tmpl w:val="E32241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8"/>
  </w:num>
  <w:num w:numId="5">
    <w:abstractNumId w:val="1"/>
  </w:num>
  <w:num w:numId="6">
    <w:abstractNumId w:val="10"/>
  </w:num>
  <w:num w:numId="7">
    <w:abstractNumId w:val="9"/>
  </w:num>
  <w:num w:numId="8">
    <w:abstractNumId w:val="7"/>
  </w:num>
  <w:num w:numId="9">
    <w:abstractNumId w:val="0"/>
  </w:num>
  <w:num w:numId="10">
    <w:abstractNumId w:val="3"/>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1D3"/>
    <w:rsid w:val="00015414"/>
    <w:rsid w:val="00106C0C"/>
    <w:rsid w:val="001F53FA"/>
    <w:rsid w:val="003011D3"/>
    <w:rsid w:val="003420CA"/>
    <w:rsid w:val="003D398C"/>
    <w:rsid w:val="003F6BD4"/>
    <w:rsid w:val="00403A5C"/>
    <w:rsid w:val="00556EBA"/>
    <w:rsid w:val="00634ED7"/>
    <w:rsid w:val="007A15AE"/>
    <w:rsid w:val="00852AB4"/>
    <w:rsid w:val="00925846"/>
    <w:rsid w:val="00A074BC"/>
    <w:rsid w:val="00AB150C"/>
    <w:rsid w:val="00B75E6D"/>
    <w:rsid w:val="00BC5A69"/>
    <w:rsid w:val="00C2283F"/>
    <w:rsid w:val="00CA442B"/>
    <w:rsid w:val="00D3150A"/>
    <w:rsid w:val="00DA3F3B"/>
    <w:rsid w:val="00DE47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3AA51-9CEE-45CC-B1B1-F996C0B7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3F3B"/>
    <w:pPr>
      <w:ind w:left="720"/>
      <w:contextualSpacing/>
    </w:pPr>
  </w:style>
  <w:style w:type="paragraph" w:styleId="Encabezado">
    <w:name w:val="header"/>
    <w:basedOn w:val="Normal"/>
    <w:link w:val="EncabezadoCar"/>
    <w:uiPriority w:val="99"/>
    <w:unhideWhenUsed/>
    <w:rsid w:val="001F53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53FA"/>
  </w:style>
  <w:style w:type="paragraph" w:styleId="Piedepgina">
    <w:name w:val="footer"/>
    <w:basedOn w:val="Normal"/>
    <w:link w:val="PiedepginaCar"/>
    <w:uiPriority w:val="99"/>
    <w:unhideWhenUsed/>
    <w:rsid w:val="001F53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53FA"/>
  </w:style>
  <w:style w:type="paragraph" w:styleId="Textodeglobo">
    <w:name w:val="Balloon Text"/>
    <w:basedOn w:val="Normal"/>
    <w:link w:val="TextodegloboCar"/>
    <w:uiPriority w:val="99"/>
    <w:semiHidden/>
    <w:unhideWhenUsed/>
    <w:rsid w:val="00403A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3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12727">
      <w:bodyDiv w:val="1"/>
      <w:marLeft w:val="0"/>
      <w:marRight w:val="0"/>
      <w:marTop w:val="0"/>
      <w:marBottom w:val="0"/>
      <w:divBdr>
        <w:top w:val="none" w:sz="0" w:space="0" w:color="auto"/>
        <w:left w:val="none" w:sz="0" w:space="0" w:color="auto"/>
        <w:bottom w:val="none" w:sz="0" w:space="0" w:color="auto"/>
        <w:right w:val="none" w:sz="0" w:space="0" w:color="auto"/>
      </w:divBdr>
    </w:div>
    <w:div w:id="1029719976">
      <w:bodyDiv w:val="1"/>
      <w:marLeft w:val="0"/>
      <w:marRight w:val="0"/>
      <w:marTop w:val="0"/>
      <w:marBottom w:val="0"/>
      <w:divBdr>
        <w:top w:val="none" w:sz="0" w:space="0" w:color="auto"/>
        <w:left w:val="none" w:sz="0" w:space="0" w:color="auto"/>
        <w:bottom w:val="none" w:sz="0" w:space="0" w:color="auto"/>
        <w:right w:val="none" w:sz="0" w:space="0" w:color="auto"/>
      </w:divBdr>
    </w:div>
    <w:div w:id="12794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6EB3-3377-4F74-9460-FA6AFDC0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859</Words>
  <Characters>4727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PAULINO KIRWAN RIVERA</dc:creator>
  <cp:keywords/>
  <dc:description/>
  <cp:lastModifiedBy>Sergio Pascual Conde Maldonado</cp:lastModifiedBy>
  <cp:revision>10</cp:revision>
  <dcterms:created xsi:type="dcterms:W3CDTF">2016-01-18T19:11:00Z</dcterms:created>
  <dcterms:modified xsi:type="dcterms:W3CDTF">2017-08-03T19:32:00Z</dcterms:modified>
</cp:coreProperties>
</file>