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443" w:rsidRDefault="00812443" w:rsidP="00812443">
      <w:pPr>
        <w:widowControl w:val="0"/>
        <w:autoSpaceDE w:val="0"/>
        <w:autoSpaceDN w:val="0"/>
        <w:adjustRightInd w:val="0"/>
        <w:spacing w:after="0" w:line="310" w:lineRule="exact"/>
        <w:jc w:val="center"/>
        <w:rPr>
          <w:rFonts w:ascii="Arial" w:hAnsi="Arial" w:cs="Arial"/>
          <w:b/>
          <w:bCs/>
          <w:color w:val="000000"/>
          <w:sz w:val="26"/>
          <w:szCs w:val="26"/>
        </w:rPr>
      </w:pPr>
      <w:proofErr w:type="spellStart"/>
      <w:r>
        <w:rPr>
          <w:rFonts w:ascii="Arial" w:hAnsi="Arial" w:cs="Arial"/>
          <w:b/>
          <w:bCs/>
          <w:color w:val="000000"/>
          <w:sz w:val="26"/>
          <w:szCs w:val="26"/>
        </w:rPr>
        <w:t>Check</w:t>
      </w:r>
      <w:proofErr w:type="spellEnd"/>
      <w:r>
        <w:rPr>
          <w:rFonts w:ascii="Arial" w:hAnsi="Arial" w:cs="Arial"/>
          <w:b/>
          <w:bCs/>
          <w:color w:val="000000"/>
          <w:sz w:val="26"/>
          <w:szCs w:val="26"/>
        </w:rPr>
        <w:t xml:space="preserve"> </w:t>
      </w:r>
      <w:proofErr w:type="spellStart"/>
      <w:r>
        <w:rPr>
          <w:rFonts w:ascii="Arial" w:hAnsi="Arial" w:cs="Arial"/>
          <w:b/>
          <w:bCs/>
          <w:color w:val="000000"/>
          <w:sz w:val="26"/>
          <w:szCs w:val="26"/>
        </w:rPr>
        <w:t>List</w:t>
      </w:r>
      <w:proofErr w:type="spellEnd"/>
      <w:r>
        <w:rPr>
          <w:rFonts w:ascii="Arial" w:hAnsi="Arial" w:cs="Arial"/>
          <w:b/>
          <w:bCs/>
          <w:color w:val="000000"/>
          <w:sz w:val="26"/>
          <w:szCs w:val="26"/>
        </w:rPr>
        <w:t xml:space="preserve"> ProDES 2014-2015</w:t>
      </w:r>
    </w:p>
    <w:p w:rsidR="00812443" w:rsidRDefault="00812443" w:rsidP="00812443">
      <w:pPr>
        <w:jc w:val="center"/>
      </w:pPr>
    </w:p>
    <w:p w:rsidR="00812443" w:rsidRPr="00D47182" w:rsidRDefault="00812443" w:rsidP="00812443">
      <w:pPr>
        <w:jc w:val="center"/>
        <w:rPr>
          <w:rFonts w:ascii="Arial" w:hAnsi="Arial" w:cs="Arial"/>
          <w:b/>
        </w:rPr>
      </w:pPr>
      <w:r w:rsidRPr="00D47182">
        <w:rPr>
          <w:rFonts w:ascii="Arial" w:hAnsi="Arial" w:cs="Arial"/>
          <w:b/>
        </w:rPr>
        <w:t xml:space="preserve">PROGRAMA DE FORTALECIMIENTO </w:t>
      </w:r>
      <w:r>
        <w:rPr>
          <w:rFonts w:ascii="Arial" w:hAnsi="Arial" w:cs="Arial"/>
          <w:b/>
        </w:rPr>
        <w:t>DE LAS DES</w:t>
      </w:r>
      <w:r w:rsidRPr="00D47182">
        <w:rPr>
          <w:rFonts w:ascii="Arial" w:hAnsi="Arial" w:cs="Arial"/>
          <w:b/>
        </w:rPr>
        <w:t xml:space="preserve"> (</w:t>
      </w:r>
      <w:r>
        <w:rPr>
          <w:rFonts w:ascii="Arial" w:hAnsi="Arial" w:cs="Arial"/>
          <w:b/>
        </w:rPr>
        <w:t>ProDES</w:t>
      </w:r>
      <w:r w:rsidRPr="00D47182">
        <w:rPr>
          <w:rFonts w:ascii="Arial" w:hAnsi="Arial" w:cs="Arial"/>
          <w:b/>
        </w:rPr>
        <w:t xml:space="preserve"> </w:t>
      </w:r>
      <w:r>
        <w:rPr>
          <w:rFonts w:ascii="Arial" w:hAnsi="Arial" w:cs="Arial"/>
          <w:b/>
        </w:rPr>
        <w:t>2014-2015</w:t>
      </w:r>
      <w:r w:rsidRPr="00D47182">
        <w:rPr>
          <w:rFonts w:ascii="Arial" w:hAnsi="Arial" w:cs="Arial"/>
          <w:b/>
        </w:rPr>
        <w:t>)</w:t>
      </w:r>
    </w:p>
    <w:p w:rsidR="00812443" w:rsidRPr="00D47182" w:rsidRDefault="00812443" w:rsidP="00812443">
      <w:pPr>
        <w:jc w:val="center"/>
        <w:rPr>
          <w:rFonts w:ascii="Arial" w:hAnsi="Arial" w:cs="Arial"/>
          <w:b/>
        </w:rPr>
      </w:pPr>
      <w:r w:rsidRPr="00D47182">
        <w:rPr>
          <w:rFonts w:ascii="Arial" w:hAnsi="Arial" w:cs="Arial"/>
          <w:b/>
        </w:rPr>
        <w:t>Lista de verificación del  formato y contenido de</w:t>
      </w:r>
      <w:r>
        <w:rPr>
          <w:rFonts w:ascii="Arial" w:hAnsi="Arial" w:cs="Arial"/>
          <w:b/>
        </w:rPr>
        <w:t xml:space="preserve"> </w:t>
      </w:r>
      <w:r w:rsidRPr="00D47182">
        <w:rPr>
          <w:rFonts w:ascii="Arial" w:hAnsi="Arial" w:cs="Arial"/>
          <w:b/>
        </w:rPr>
        <w:t>l</w:t>
      </w:r>
      <w:r>
        <w:rPr>
          <w:rFonts w:ascii="Arial" w:hAnsi="Arial" w:cs="Arial"/>
          <w:b/>
        </w:rPr>
        <w:t>os</w:t>
      </w:r>
      <w:r w:rsidRPr="00D47182">
        <w:rPr>
          <w:rFonts w:ascii="Arial" w:hAnsi="Arial" w:cs="Arial"/>
          <w:b/>
        </w:rPr>
        <w:t xml:space="preserve"> </w:t>
      </w:r>
      <w:r>
        <w:rPr>
          <w:rFonts w:ascii="Arial" w:hAnsi="Arial" w:cs="Arial"/>
          <w:b/>
        </w:rPr>
        <w:t>ProDES</w:t>
      </w:r>
      <w:r w:rsidRPr="00D47182">
        <w:rPr>
          <w:rFonts w:ascii="Arial" w:hAnsi="Arial" w:cs="Arial"/>
          <w:b/>
        </w:rPr>
        <w:t xml:space="preserve"> </w:t>
      </w:r>
      <w:r>
        <w:rPr>
          <w:rFonts w:ascii="Arial" w:hAnsi="Arial" w:cs="Arial"/>
          <w:b/>
        </w:rPr>
        <w:t>2014-2015</w:t>
      </w:r>
    </w:p>
    <w:p w:rsidR="00812443" w:rsidRPr="00D47182" w:rsidRDefault="00812443" w:rsidP="00812443">
      <w:pPr>
        <w:jc w:val="center"/>
        <w:rPr>
          <w:rFonts w:ascii="Arial" w:hAnsi="Arial" w:cs="Arial"/>
          <w:b/>
        </w:rPr>
      </w:pPr>
    </w:p>
    <w:p w:rsidR="00812443" w:rsidRPr="00D47182" w:rsidRDefault="00812443" w:rsidP="00812443">
      <w:pPr>
        <w:rPr>
          <w:rFonts w:ascii="Arial" w:hAnsi="Arial" w:cs="Arial"/>
        </w:rPr>
      </w:pPr>
      <w:r w:rsidRPr="00D47182">
        <w:rPr>
          <w:rFonts w:ascii="Arial" w:hAnsi="Arial" w:cs="Arial"/>
        </w:rPr>
        <w:t xml:space="preserve">Esta lista de cotejo se propone como herramienta para facilitar la autoevaluación </w:t>
      </w:r>
      <w:r>
        <w:rPr>
          <w:rFonts w:ascii="Arial" w:hAnsi="Arial" w:cs="Arial"/>
        </w:rPr>
        <w:t>de los ProDES</w:t>
      </w:r>
      <w:r w:rsidRPr="00D47182">
        <w:rPr>
          <w:rFonts w:ascii="Arial" w:hAnsi="Arial" w:cs="Arial"/>
        </w:rPr>
        <w:t xml:space="preserve"> </w:t>
      </w:r>
      <w:r>
        <w:rPr>
          <w:rFonts w:ascii="Arial" w:hAnsi="Arial" w:cs="Arial"/>
        </w:rPr>
        <w:t xml:space="preserve">del PIFI </w:t>
      </w:r>
      <w:r w:rsidRPr="00D47182">
        <w:rPr>
          <w:rFonts w:ascii="Arial" w:hAnsi="Arial" w:cs="Arial"/>
        </w:rPr>
        <w:t xml:space="preserve"> </w:t>
      </w:r>
      <w:r>
        <w:rPr>
          <w:rFonts w:ascii="Arial" w:hAnsi="Arial" w:cs="Arial"/>
        </w:rPr>
        <w:t>201</w:t>
      </w:r>
      <w:r w:rsidR="009E14BC">
        <w:rPr>
          <w:rFonts w:ascii="Arial" w:hAnsi="Arial" w:cs="Arial"/>
        </w:rPr>
        <w:t>4</w:t>
      </w:r>
      <w:r>
        <w:rPr>
          <w:rFonts w:ascii="Arial" w:hAnsi="Arial" w:cs="Arial"/>
        </w:rPr>
        <w:t>-201</w:t>
      </w:r>
      <w:r w:rsidR="009E14BC">
        <w:rPr>
          <w:rFonts w:ascii="Arial" w:hAnsi="Arial" w:cs="Arial"/>
        </w:rPr>
        <w:t>5</w:t>
      </w:r>
    </w:p>
    <w:p w:rsidR="00812443" w:rsidRPr="00D47182" w:rsidRDefault="00812443" w:rsidP="00812443">
      <w:pPr>
        <w:rPr>
          <w:rFonts w:ascii="Arial" w:hAnsi="Arial" w:cs="Arial"/>
          <w:b/>
        </w:rPr>
      </w:pPr>
      <w:r>
        <w:rPr>
          <w:rFonts w:ascii="Arial" w:hAnsi="Arial" w:cs="Arial"/>
          <w:b/>
        </w:rPr>
        <w:t>Nombre de la DES__________________________________________-</w:t>
      </w:r>
    </w:p>
    <w:p w:rsidR="00812443" w:rsidRPr="00D47182" w:rsidRDefault="00812443" w:rsidP="00812443">
      <w:pPr>
        <w:rPr>
          <w:rFonts w:ascii="Arial" w:hAnsi="Arial" w:cs="Arial"/>
          <w:b/>
        </w:rPr>
      </w:pPr>
      <w:r w:rsidRPr="00D47182">
        <w:rPr>
          <w:rFonts w:ascii="Arial" w:hAnsi="Arial" w:cs="Arial"/>
          <w:b/>
        </w:rPr>
        <w:t>Marcar con una X la casilla que corresponda</w:t>
      </w:r>
    </w:p>
    <w:tbl>
      <w:tblPr>
        <w:tblW w:w="8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8"/>
        <w:gridCol w:w="946"/>
        <w:gridCol w:w="792"/>
      </w:tblGrid>
      <w:tr w:rsidR="00812443" w:rsidRPr="00D47182" w:rsidTr="008D6896">
        <w:trPr>
          <w:trHeight w:val="106"/>
          <w:tblHeader/>
          <w:jc w:val="center"/>
        </w:trPr>
        <w:tc>
          <w:tcPr>
            <w:tcW w:w="7168" w:type="dxa"/>
            <w:vMerge w:val="restart"/>
            <w:shd w:val="clear" w:color="auto" w:fill="B3B3B3"/>
            <w:vAlign w:val="center"/>
          </w:tcPr>
          <w:p w:rsidR="00812443" w:rsidRPr="00D47182" w:rsidRDefault="00812443" w:rsidP="008D6896">
            <w:pPr>
              <w:jc w:val="center"/>
              <w:rPr>
                <w:rFonts w:ascii="Arial" w:hAnsi="Arial" w:cs="Arial"/>
                <w:b/>
              </w:rPr>
            </w:pPr>
            <w:r w:rsidRPr="00D47182">
              <w:rPr>
                <w:rFonts w:ascii="Arial" w:hAnsi="Arial" w:cs="Arial"/>
                <w:b/>
              </w:rPr>
              <w:t>Formato del documento</w:t>
            </w:r>
          </w:p>
        </w:tc>
        <w:tc>
          <w:tcPr>
            <w:tcW w:w="1738" w:type="dxa"/>
            <w:gridSpan w:val="2"/>
            <w:shd w:val="clear" w:color="auto" w:fill="B3B3B3"/>
          </w:tcPr>
          <w:p w:rsidR="00812443" w:rsidRPr="00D47182" w:rsidRDefault="00812443" w:rsidP="008D6896">
            <w:pPr>
              <w:jc w:val="center"/>
              <w:rPr>
                <w:rFonts w:ascii="Arial" w:hAnsi="Arial" w:cs="Arial"/>
                <w:b/>
                <w:sz w:val="18"/>
                <w:szCs w:val="18"/>
              </w:rPr>
            </w:pPr>
            <w:r w:rsidRPr="00D47182">
              <w:rPr>
                <w:rFonts w:ascii="Arial" w:hAnsi="Arial" w:cs="Arial"/>
                <w:b/>
                <w:sz w:val="18"/>
                <w:szCs w:val="18"/>
              </w:rPr>
              <w:t>Están incluidos en el ProDES</w:t>
            </w:r>
          </w:p>
        </w:tc>
      </w:tr>
      <w:tr w:rsidR="00812443" w:rsidRPr="00D47182" w:rsidTr="008D6896">
        <w:trPr>
          <w:trHeight w:val="208"/>
          <w:tblHeader/>
          <w:jc w:val="center"/>
        </w:trPr>
        <w:tc>
          <w:tcPr>
            <w:tcW w:w="7168" w:type="dxa"/>
            <w:vMerge/>
            <w:shd w:val="clear" w:color="auto" w:fill="B3B3B3"/>
          </w:tcPr>
          <w:p w:rsidR="00812443" w:rsidRPr="00D47182" w:rsidRDefault="00812443" w:rsidP="008D6896">
            <w:pPr>
              <w:jc w:val="center"/>
              <w:rPr>
                <w:rFonts w:ascii="Arial" w:hAnsi="Arial" w:cs="Arial"/>
                <w:b/>
                <w:sz w:val="16"/>
                <w:szCs w:val="16"/>
              </w:rPr>
            </w:pPr>
          </w:p>
        </w:tc>
        <w:tc>
          <w:tcPr>
            <w:tcW w:w="946" w:type="dxa"/>
            <w:tcBorders>
              <w:bottom w:val="single" w:sz="4" w:space="0" w:color="auto"/>
            </w:tcBorders>
            <w:shd w:val="clear" w:color="auto" w:fill="B3B3B3"/>
          </w:tcPr>
          <w:p w:rsidR="00812443" w:rsidRPr="00D47182" w:rsidRDefault="00812443" w:rsidP="008D6896">
            <w:pPr>
              <w:jc w:val="center"/>
              <w:rPr>
                <w:rFonts w:ascii="Arial" w:hAnsi="Arial" w:cs="Arial"/>
                <w:b/>
                <w:sz w:val="16"/>
                <w:szCs w:val="16"/>
              </w:rPr>
            </w:pPr>
            <w:r w:rsidRPr="00D47182">
              <w:rPr>
                <w:rFonts w:ascii="Arial" w:hAnsi="Arial" w:cs="Arial"/>
                <w:b/>
                <w:sz w:val="16"/>
                <w:szCs w:val="16"/>
              </w:rPr>
              <w:t>SI</w:t>
            </w:r>
          </w:p>
        </w:tc>
        <w:tc>
          <w:tcPr>
            <w:tcW w:w="792" w:type="dxa"/>
            <w:tcBorders>
              <w:bottom w:val="single" w:sz="4" w:space="0" w:color="auto"/>
            </w:tcBorders>
            <w:shd w:val="clear" w:color="auto" w:fill="B3B3B3"/>
          </w:tcPr>
          <w:p w:rsidR="00812443" w:rsidRPr="00D47182" w:rsidRDefault="00812443" w:rsidP="008D6896">
            <w:pPr>
              <w:jc w:val="center"/>
              <w:rPr>
                <w:rFonts w:ascii="Arial" w:hAnsi="Arial" w:cs="Arial"/>
                <w:b/>
                <w:sz w:val="16"/>
                <w:szCs w:val="16"/>
              </w:rPr>
            </w:pPr>
            <w:r>
              <w:rPr>
                <w:rFonts w:ascii="Arial" w:hAnsi="Arial" w:cs="Arial"/>
                <w:b/>
                <w:sz w:val="16"/>
                <w:szCs w:val="16"/>
              </w:rPr>
              <w:t>No</w:t>
            </w:r>
          </w:p>
        </w:tc>
      </w:tr>
      <w:tr w:rsidR="00812443" w:rsidRPr="00D47182" w:rsidTr="008D6896">
        <w:trPr>
          <w:trHeight w:val="228"/>
          <w:jc w:val="center"/>
        </w:trPr>
        <w:tc>
          <w:tcPr>
            <w:tcW w:w="7168" w:type="dxa"/>
          </w:tcPr>
          <w:p w:rsidR="00812443" w:rsidRPr="00D47182" w:rsidRDefault="00812443" w:rsidP="008D6896">
            <w:pPr>
              <w:ind w:left="326" w:hanging="326"/>
              <w:rPr>
                <w:rFonts w:ascii="Arial" w:hAnsi="Arial" w:cs="Arial"/>
                <w:b/>
                <w:sz w:val="20"/>
                <w:szCs w:val="20"/>
              </w:rPr>
            </w:pPr>
            <w:r w:rsidRPr="00D47182">
              <w:rPr>
                <w:rFonts w:ascii="Arial" w:hAnsi="Arial" w:cs="Arial"/>
                <w:b/>
                <w:sz w:val="20"/>
                <w:szCs w:val="20"/>
              </w:rPr>
              <w:t>1.  Papel tamaño carta con márgenes izquierdo</w:t>
            </w:r>
            <w:r>
              <w:rPr>
                <w:rFonts w:ascii="Arial" w:hAnsi="Arial" w:cs="Arial"/>
                <w:b/>
                <w:sz w:val="20"/>
                <w:szCs w:val="20"/>
              </w:rPr>
              <w:t xml:space="preserve"> 2.5 cm, </w:t>
            </w:r>
            <w:r w:rsidRPr="00D47182">
              <w:rPr>
                <w:rFonts w:ascii="Arial" w:hAnsi="Arial" w:cs="Arial"/>
                <w:b/>
                <w:sz w:val="20"/>
                <w:szCs w:val="20"/>
              </w:rPr>
              <w:t xml:space="preserve">derecho de </w:t>
            </w:r>
            <w:r>
              <w:rPr>
                <w:rFonts w:ascii="Arial" w:hAnsi="Arial" w:cs="Arial"/>
                <w:b/>
                <w:sz w:val="20"/>
                <w:szCs w:val="20"/>
              </w:rPr>
              <w:t>2.0 cm, inferior 2.0 cm</w:t>
            </w:r>
            <w:r w:rsidRPr="00D47182">
              <w:rPr>
                <w:rFonts w:ascii="Arial" w:hAnsi="Arial" w:cs="Arial"/>
                <w:b/>
                <w:sz w:val="20"/>
                <w:szCs w:val="20"/>
              </w:rPr>
              <w:t xml:space="preserve"> y su</w:t>
            </w:r>
            <w:r>
              <w:rPr>
                <w:rFonts w:ascii="Arial" w:hAnsi="Arial" w:cs="Arial"/>
                <w:b/>
                <w:sz w:val="20"/>
                <w:szCs w:val="20"/>
              </w:rPr>
              <w:t>perior de 2.0</w:t>
            </w:r>
            <w:r w:rsidRPr="00D47182">
              <w:rPr>
                <w:rFonts w:ascii="Arial" w:hAnsi="Arial" w:cs="Arial"/>
                <w:b/>
                <w:sz w:val="20"/>
                <w:szCs w:val="20"/>
              </w:rPr>
              <w:t xml:space="preserve"> </w:t>
            </w:r>
            <w:r w:rsidRPr="00D47182">
              <w:rPr>
                <w:rFonts w:ascii="Arial" w:hAnsi="Arial" w:cs="Arial"/>
                <w:b/>
                <w:sz w:val="18"/>
                <w:szCs w:val="18"/>
              </w:rPr>
              <w:t>cm.</w:t>
            </w:r>
          </w:p>
        </w:tc>
        <w:tc>
          <w:tcPr>
            <w:tcW w:w="946" w:type="dxa"/>
            <w:shd w:val="clear" w:color="auto" w:fill="auto"/>
          </w:tcPr>
          <w:p w:rsidR="00812443" w:rsidRPr="00D47182" w:rsidRDefault="00812443" w:rsidP="008D6896">
            <w:pPr>
              <w:jc w:val="center"/>
              <w:rPr>
                <w:rFonts w:ascii="Arial" w:hAnsi="Arial" w:cs="Arial"/>
                <w:sz w:val="20"/>
                <w:szCs w:val="20"/>
              </w:rPr>
            </w:pPr>
          </w:p>
        </w:tc>
        <w:tc>
          <w:tcPr>
            <w:tcW w:w="792" w:type="dxa"/>
            <w:shd w:val="clear" w:color="auto" w:fill="auto"/>
          </w:tcPr>
          <w:p w:rsidR="00812443" w:rsidRPr="00D47182" w:rsidRDefault="00812443" w:rsidP="008D6896">
            <w:pPr>
              <w:jc w:val="center"/>
              <w:rPr>
                <w:rFonts w:ascii="Arial" w:hAnsi="Arial" w:cs="Arial"/>
                <w:sz w:val="20"/>
                <w:szCs w:val="20"/>
              </w:rPr>
            </w:pPr>
          </w:p>
        </w:tc>
      </w:tr>
      <w:tr w:rsidR="00812443" w:rsidRPr="00D47182" w:rsidTr="008D6896">
        <w:trPr>
          <w:trHeight w:val="146"/>
          <w:jc w:val="center"/>
        </w:trPr>
        <w:tc>
          <w:tcPr>
            <w:tcW w:w="7168" w:type="dxa"/>
          </w:tcPr>
          <w:p w:rsidR="00812443" w:rsidRPr="00D47182" w:rsidRDefault="00812443" w:rsidP="008D6896">
            <w:pPr>
              <w:ind w:left="326" w:hanging="326"/>
              <w:rPr>
                <w:rFonts w:ascii="Arial" w:hAnsi="Arial" w:cs="Arial"/>
                <w:b/>
                <w:sz w:val="20"/>
                <w:szCs w:val="20"/>
              </w:rPr>
            </w:pPr>
            <w:r w:rsidRPr="00D47182">
              <w:rPr>
                <w:rFonts w:ascii="Arial" w:hAnsi="Arial" w:cs="Arial"/>
                <w:b/>
                <w:sz w:val="20"/>
                <w:szCs w:val="20"/>
              </w:rPr>
              <w:t>2.  Tipografía “</w:t>
            </w:r>
            <w:r>
              <w:rPr>
                <w:rFonts w:ascii="Arial" w:hAnsi="Arial" w:cs="Arial"/>
                <w:b/>
                <w:sz w:val="20"/>
                <w:szCs w:val="20"/>
              </w:rPr>
              <w:t>Arial</w:t>
            </w:r>
            <w:r w:rsidRPr="00D47182">
              <w:rPr>
                <w:rFonts w:ascii="Arial" w:hAnsi="Arial" w:cs="Arial"/>
                <w:b/>
                <w:sz w:val="20"/>
                <w:szCs w:val="20"/>
              </w:rPr>
              <w:t>”; texto</w:t>
            </w:r>
            <w:r>
              <w:rPr>
                <w:rFonts w:ascii="Arial" w:hAnsi="Arial" w:cs="Arial"/>
                <w:b/>
                <w:sz w:val="20"/>
                <w:szCs w:val="20"/>
              </w:rPr>
              <w:t>s</w:t>
            </w:r>
            <w:r w:rsidRPr="00D47182">
              <w:rPr>
                <w:rFonts w:ascii="Arial" w:hAnsi="Arial" w:cs="Arial"/>
                <w:b/>
                <w:sz w:val="20"/>
                <w:szCs w:val="20"/>
              </w:rPr>
              <w:t xml:space="preserve"> </w:t>
            </w:r>
            <w:r>
              <w:rPr>
                <w:rFonts w:ascii="Arial" w:hAnsi="Arial" w:cs="Arial"/>
                <w:b/>
                <w:sz w:val="20"/>
                <w:szCs w:val="20"/>
              </w:rPr>
              <w:t xml:space="preserve">generales </w:t>
            </w:r>
            <w:r w:rsidRPr="00D47182">
              <w:rPr>
                <w:rFonts w:ascii="Arial" w:hAnsi="Arial" w:cs="Arial"/>
                <w:b/>
                <w:sz w:val="20"/>
                <w:szCs w:val="20"/>
              </w:rPr>
              <w:t>de 1</w:t>
            </w:r>
            <w:r>
              <w:rPr>
                <w:rFonts w:ascii="Arial" w:hAnsi="Arial" w:cs="Arial"/>
                <w:b/>
                <w:sz w:val="20"/>
                <w:szCs w:val="20"/>
              </w:rPr>
              <w:t>0</w:t>
            </w:r>
            <w:r w:rsidRPr="00D47182">
              <w:rPr>
                <w:rFonts w:ascii="Arial" w:hAnsi="Arial" w:cs="Arial"/>
                <w:b/>
                <w:sz w:val="20"/>
                <w:szCs w:val="20"/>
              </w:rPr>
              <w:t xml:space="preserve"> puntos.     </w:t>
            </w:r>
          </w:p>
        </w:tc>
        <w:tc>
          <w:tcPr>
            <w:tcW w:w="946" w:type="dxa"/>
            <w:shd w:val="clear" w:color="auto" w:fill="auto"/>
          </w:tcPr>
          <w:p w:rsidR="00812443" w:rsidRPr="00D47182" w:rsidRDefault="00812443" w:rsidP="008D6896">
            <w:pPr>
              <w:jc w:val="center"/>
              <w:rPr>
                <w:rFonts w:ascii="Arial" w:hAnsi="Arial" w:cs="Arial"/>
                <w:sz w:val="20"/>
                <w:szCs w:val="20"/>
              </w:rPr>
            </w:pPr>
          </w:p>
        </w:tc>
        <w:tc>
          <w:tcPr>
            <w:tcW w:w="792" w:type="dxa"/>
            <w:shd w:val="clear" w:color="auto" w:fill="auto"/>
          </w:tcPr>
          <w:p w:rsidR="00812443" w:rsidRPr="00D47182" w:rsidRDefault="00812443" w:rsidP="008D6896">
            <w:pPr>
              <w:jc w:val="center"/>
              <w:rPr>
                <w:rFonts w:ascii="Arial" w:hAnsi="Arial" w:cs="Arial"/>
                <w:sz w:val="20"/>
                <w:szCs w:val="20"/>
              </w:rPr>
            </w:pPr>
          </w:p>
        </w:tc>
      </w:tr>
      <w:tr w:rsidR="00812443" w:rsidRPr="00D47182" w:rsidTr="008D6896">
        <w:trPr>
          <w:trHeight w:val="143"/>
          <w:jc w:val="center"/>
        </w:trPr>
        <w:tc>
          <w:tcPr>
            <w:tcW w:w="7168" w:type="dxa"/>
          </w:tcPr>
          <w:p w:rsidR="00812443" w:rsidRPr="00D47182" w:rsidRDefault="00812443" w:rsidP="008D6896">
            <w:pPr>
              <w:ind w:left="326" w:hanging="326"/>
              <w:rPr>
                <w:rFonts w:ascii="Arial" w:hAnsi="Arial" w:cs="Arial"/>
                <w:b/>
                <w:sz w:val="20"/>
                <w:szCs w:val="20"/>
              </w:rPr>
            </w:pPr>
            <w:r w:rsidRPr="00D47182">
              <w:rPr>
                <w:rFonts w:ascii="Arial" w:hAnsi="Arial" w:cs="Arial"/>
                <w:b/>
                <w:sz w:val="20"/>
                <w:szCs w:val="20"/>
              </w:rPr>
              <w:t>3.  Títulos  “</w:t>
            </w:r>
            <w:r>
              <w:rPr>
                <w:rFonts w:ascii="Arial" w:hAnsi="Arial" w:cs="Arial"/>
                <w:b/>
                <w:sz w:val="20"/>
                <w:szCs w:val="20"/>
              </w:rPr>
              <w:t>Arial</w:t>
            </w:r>
            <w:r w:rsidRPr="00D47182">
              <w:rPr>
                <w:rFonts w:ascii="Arial" w:hAnsi="Arial" w:cs="Arial"/>
                <w:b/>
                <w:sz w:val="20"/>
                <w:szCs w:val="20"/>
              </w:rPr>
              <w:t>” en negritas, 12 puntos.</w:t>
            </w:r>
          </w:p>
        </w:tc>
        <w:tc>
          <w:tcPr>
            <w:tcW w:w="946" w:type="dxa"/>
            <w:shd w:val="clear" w:color="auto" w:fill="auto"/>
          </w:tcPr>
          <w:p w:rsidR="00812443" w:rsidRPr="00D47182" w:rsidRDefault="00812443" w:rsidP="008D6896">
            <w:pPr>
              <w:jc w:val="center"/>
              <w:rPr>
                <w:rFonts w:ascii="Arial" w:hAnsi="Arial" w:cs="Arial"/>
                <w:sz w:val="20"/>
                <w:szCs w:val="20"/>
              </w:rPr>
            </w:pPr>
          </w:p>
        </w:tc>
        <w:tc>
          <w:tcPr>
            <w:tcW w:w="792" w:type="dxa"/>
            <w:shd w:val="clear" w:color="auto" w:fill="auto"/>
          </w:tcPr>
          <w:p w:rsidR="00812443" w:rsidRPr="00D47182" w:rsidRDefault="00812443" w:rsidP="008D6896">
            <w:pPr>
              <w:jc w:val="center"/>
              <w:rPr>
                <w:rFonts w:ascii="Arial" w:hAnsi="Arial" w:cs="Arial"/>
                <w:sz w:val="20"/>
                <w:szCs w:val="20"/>
              </w:rPr>
            </w:pPr>
          </w:p>
        </w:tc>
      </w:tr>
      <w:tr w:rsidR="00812443" w:rsidRPr="00D47182" w:rsidTr="008D6896">
        <w:trPr>
          <w:trHeight w:val="146"/>
          <w:jc w:val="center"/>
        </w:trPr>
        <w:tc>
          <w:tcPr>
            <w:tcW w:w="7168" w:type="dxa"/>
          </w:tcPr>
          <w:p w:rsidR="00812443" w:rsidRPr="00D47182" w:rsidRDefault="00812443" w:rsidP="008D6896">
            <w:pPr>
              <w:ind w:left="326" w:hanging="326"/>
              <w:rPr>
                <w:rFonts w:ascii="Arial" w:hAnsi="Arial" w:cs="Arial"/>
                <w:b/>
                <w:sz w:val="20"/>
                <w:szCs w:val="20"/>
              </w:rPr>
            </w:pPr>
            <w:r>
              <w:rPr>
                <w:rFonts w:ascii="Arial" w:hAnsi="Arial" w:cs="Arial"/>
                <w:b/>
                <w:sz w:val="20"/>
                <w:szCs w:val="20"/>
              </w:rPr>
              <w:t xml:space="preserve">4.  Subtítulos </w:t>
            </w:r>
            <w:r w:rsidRPr="00D47182">
              <w:rPr>
                <w:rFonts w:ascii="Arial" w:hAnsi="Arial" w:cs="Arial"/>
                <w:b/>
                <w:sz w:val="20"/>
                <w:szCs w:val="20"/>
              </w:rPr>
              <w:t>“</w:t>
            </w:r>
            <w:r>
              <w:rPr>
                <w:rFonts w:ascii="Arial" w:hAnsi="Arial" w:cs="Arial"/>
                <w:b/>
                <w:sz w:val="20"/>
                <w:szCs w:val="20"/>
              </w:rPr>
              <w:t>Arial” en negritas, 10</w:t>
            </w:r>
            <w:r w:rsidRPr="00D47182">
              <w:rPr>
                <w:rFonts w:ascii="Arial" w:hAnsi="Arial" w:cs="Arial"/>
                <w:b/>
                <w:sz w:val="20"/>
                <w:szCs w:val="20"/>
              </w:rPr>
              <w:t xml:space="preserve"> puntos.</w:t>
            </w:r>
          </w:p>
        </w:tc>
        <w:tc>
          <w:tcPr>
            <w:tcW w:w="946" w:type="dxa"/>
            <w:shd w:val="clear" w:color="auto" w:fill="auto"/>
          </w:tcPr>
          <w:p w:rsidR="00812443" w:rsidRPr="00D47182" w:rsidRDefault="00812443" w:rsidP="008D6896">
            <w:pPr>
              <w:jc w:val="center"/>
              <w:rPr>
                <w:rFonts w:ascii="Arial" w:hAnsi="Arial" w:cs="Arial"/>
                <w:sz w:val="20"/>
                <w:szCs w:val="20"/>
              </w:rPr>
            </w:pPr>
          </w:p>
        </w:tc>
        <w:tc>
          <w:tcPr>
            <w:tcW w:w="792" w:type="dxa"/>
            <w:shd w:val="clear" w:color="auto" w:fill="auto"/>
          </w:tcPr>
          <w:p w:rsidR="00812443" w:rsidRPr="00D47182" w:rsidRDefault="00812443" w:rsidP="008D6896">
            <w:pPr>
              <w:jc w:val="center"/>
              <w:rPr>
                <w:rFonts w:ascii="Arial" w:hAnsi="Arial" w:cs="Arial"/>
                <w:sz w:val="20"/>
                <w:szCs w:val="20"/>
              </w:rPr>
            </w:pPr>
          </w:p>
        </w:tc>
      </w:tr>
      <w:tr w:rsidR="00812443" w:rsidRPr="00D47182" w:rsidTr="008D6896">
        <w:trPr>
          <w:trHeight w:val="226"/>
          <w:jc w:val="center"/>
        </w:trPr>
        <w:tc>
          <w:tcPr>
            <w:tcW w:w="7168" w:type="dxa"/>
          </w:tcPr>
          <w:p w:rsidR="00812443" w:rsidRPr="00D47182" w:rsidRDefault="00812443" w:rsidP="008D6896">
            <w:pPr>
              <w:ind w:left="326" w:hanging="326"/>
              <w:rPr>
                <w:rFonts w:ascii="Arial" w:hAnsi="Arial" w:cs="Arial"/>
                <w:b/>
                <w:sz w:val="20"/>
                <w:szCs w:val="20"/>
              </w:rPr>
            </w:pPr>
            <w:r w:rsidRPr="00D47182">
              <w:rPr>
                <w:rFonts w:ascii="Arial" w:hAnsi="Arial" w:cs="Arial"/>
                <w:b/>
                <w:sz w:val="20"/>
                <w:szCs w:val="20"/>
              </w:rPr>
              <w:t>4.   Espacio entre caracteres: normal; interlineado sencillo</w:t>
            </w:r>
            <w:r>
              <w:rPr>
                <w:rFonts w:ascii="Arial" w:hAnsi="Arial" w:cs="Arial"/>
                <w:b/>
                <w:sz w:val="20"/>
                <w:szCs w:val="20"/>
              </w:rPr>
              <w:t>; paginación como se muestra en el ejemplo</w:t>
            </w:r>
          </w:p>
        </w:tc>
        <w:tc>
          <w:tcPr>
            <w:tcW w:w="946" w:type="dxa"/>
            <w:shd w:val="clear" w:color="auto" w:fill="auto"/>
          </w:tcPr>
          <w:p w:rsidR="00812443" w:rsidRPr="00D47182" w:rsidRDefault="00812443" w:rsidP="008D6896">
            <w:pPr>
              <w:jc w:val="center"/>
              <w:rPr>
                <w:rFonts w:ascii="Arial" w:hAnsi="Arial" w:cs="Arial"/>
                <w:sz w:val="20"/>
                <w:szCs w:val="20"/>
              </w:rPr>
            </w:pPr>
          </w:p>
        </w:tc>
        <w:tc>
          <w:tcPr>
            <w:tcW w:w="792" w:type="dxa"/>
            <w:shd w:val="clear" w:color="auto" w:fill="auto"/>
          </w:tcPr>
          <w:p w:rsidR="00812443" w:rsidRPr="00D47182" w:rsidRDefault="00812443" w:rsidP="008D6896">
            <w:pPr>
              <w:jc w:val="center"/>
              <w:rPr>
                <w:rFonts w:ascii="Arial" w:hAnsi="Arial" w:cs="Arial"/>
                <w:sz w:val="20"/>
                <w:szCs w:val="20"/>
              </w:rPr>
            </w:pPr>
          </w:p>
        </w:tc>
      </w:tr>
      <w:tr w:rsidR="00812443" w:rsidRPr="00D47182" w:rsidTr="008D6896">
        <w:trPr>
          <w:trHeight w:val="146"/>
          <w:jc w:val="center"/>
        </w:trPr>
        <w:tc>
          <w:tcPr>
            <w:tcW w:w="7168" w:type="dxa"/>
            <w:tcBorders>
              <w:bottom w:val="single" w:sz="4" w:space="0" w:color="auto"/>
            </w:tcBorders>
          </w:tcPr>
          <w:p w:rsidR="00812443" w:rsidRPr="00D47182" w:rsidRDefault="00812443" w:rsidP="008D6896">
            <w:pPr>
              <w:rPr>
                <w:rFonts w:ascii="Arial" w:hAnsi="Arial" w:cs="Arial"/>
                <w:b/>
                <w:sz w:val="20"/>
                <w:szCs w:val="20"/>
              </w:rPr>
            </w:pPr>
            <w:r w:rsidRPr="00D47182">
              <w:rPr>
                <w:rFonts w:ascii="Arial" w:hAnsi="Arial" w:cs="Arial"/>
                <w:b/>
                <w:sz w:val="20"/>
                <w:szCs w:val="20"/>
              </w:rPr>
              <w:t xml:space="preserve">5. </w:t>
            </w:r>
            <w:r>
              <w:rPr>
                <w:rFonts w:ascii="Arial" w:hAnsi="Arial" w:cs="Arial"/>
                <w:b/>
                <w:sz w:val="20"/>
                <w:szCs w:val="20"/>
              </w:rPr>
              <w:t xml:space="preserve"> </w:t>
            </w:r>
            <w:r w:rsidRPr="00D47182">
              <w:rPr>
                <w:rFonts w:ascii="Arial" w:hAnsi="Arial" w:cs="Arial"/>
                <w:b/>
                <w:sz w:val="20"/>
                <w:szCs w:val="20"/>
              </w:rPr>
              <w:t>Tablas “Arial Narrow”, 8 puntos</w:t>
            </w:r>
          </w:p>
        </w:tc>
        <w:tc>
          <w:tcPr>
            <w:tcW w:w="946" w:type="dxa"/>
            <w:shd w:val="clear" w:color="auto" w:fill="auto"/>
          </w:tcPr>
          <w:p w:rsidR="00812443" w:rsidRPr="00D47182" w:rsidRDefault="00812443" w:rsidP="008D6896">
            <w:pPr>
              <w:jc w:val="center"/>
              <w:rPr>
                <w:rFonts w:ascii="Arial" w:hAnsi="Arial" w:cs="Arial"/>
                <w:sz w:val="20"/>
                <w:szCs w:val="20"/>
              </w:rPr>
            </w:pPr>
          </w:p>
        </w:tc>
        <w:tc>
          <w:tcPr>
            <w:tcW w:w="792" w:type="dxa"/>
            <w:shd w:val="clear" w:color="auto" w:fill="auto"/>
          </w:tcPr>
          <w:p w:rsidR="00812443" w:rsidRPr="00D47182" w:rsidRDefault="00812443" w:rsidP="008D6896">
            <w:pPr>
              <w:jc w:val="center"/>
              <w:rPr>
                <w:rFonts w:ascii="Arial" w:hAnsi="Arial" w:cs="Arial"/>
                <w:sz w:val="20"/>
                <w:szCs w:val="20"/>
              </w:rPr>
            </w:pPr>
          </w:p>
        </w:tc>
      </w:tr>
    </w:tbl>
    <w:p w:rsidR="00812443" w:rsidRDefault="00812443" w:rsidP="00812443">
      <w:pPr>
        <w:jc w:val="center"/>
      </w:pPr>
    </w:p>
    <w:p w:rsidR="00812443" w:rsidRDefault="00812443" w:rsidP="00812443">
      <w:pPr>
        <w:jc w:val="center"/>
      </w:pPr>
    </w:p>
    <w:p w:rsidR="00812443" w:rsidRDefault="00812443" w:rsidP="00812443">
      <w:pPr>
        <w:jc w:val="center"/>
      </w:pPr>
    </w:p>
    <w:p w:rsidR="00812443" w:rsidRDefault="00812443" w:rsidP="00812443">
      <w:pPr>
        <w:jc w:val="center"/>
      </w:pPr>
    </w:p>
    <w:p w:rsidR="00812443" w:rsidRDefault="00812443" w:rsidP="00812443">
      <w:pPr>
        <w:jc w:val="center"/>
      </w:pPr>
    </w:p>
    <w:p w:rsidR="00812443" w:rsidRDefault="00812443" w:rsidP="00812443">
      <w:pPr>
        <w:jc w:val="center"/>
      </w:pPr>
    </w:p>
    <w:p w:rsidR="00812443" w:rsidRDefault="00812443" w:rsidP="00812443">
      <w:pPr>
        <w:jc w:val="center"/>
      </w:pPr>
    </w:p>
    <w:p w:rsidR="00812443" w:rsidRDefault="00812443" w:rsidP="00812443">
      <w:pPr>
        <w:jc w:val="center"/>
      </w:pPr>
    </w:p>
    <w:p w:rsidR="00743DFC" w:rsidRDefault="00743DFC" w:rsidP="00812443">
      <w:pPr>
        <w:jc w:val="center"/>
      </w:pPr>
    </w:p>
    <w:p w:rsidR="00812443" w:rsidRDefault="00812443" w:rsidP="00812443">
      <w:pPr>
        <w:jc w:val="both"/>
      </w:pPr>
    </w:p>
    <w:p w:rsidR="00812443" w:rsidRPr="001223B9" w:rsidRDefault="00812443" w:rsidP="00812443">
      <w:pPr>
        <w:jc w:val="both"/>
        <w:rPr>
          <w:rFonts w:ascii="Gill Sans MT" w:hAnsi="Gill Sans MT"/>
          <w:sz w:val="20"/>
          <w:szCs w:val="20"/>
        </w:rPr>
      </w:pPr>
      <w:r w:rsidRPr="001223B9">
        <w:rPr>
          <w:rFonts w:ascii="Gill Sans MT" w:hAnsi="Gill Sans MT"/>
          <w:sz w:val="20"/>
          <w:szCs w:val="20"/>
        </w:rPr>
        <w:t xml:space="preserve">En cada </w:t>
      </w:r>
      <w:r w:rsidR="00CD4513">
        <w:rPr>
          <w:rFonts w:ascii="Gill Sans MT" w:hAnsi="Gill Sans MT"/>
          <w:sz w:val="20"/>
          <w:szCs w:val="20"/>
        </w:rPr>
        <w:t>apartado</w:t>
      </w:r>
      <w:r w:rsidRPr="001223B9">
        <w:rPr>
          <w:rFonts w:ascii="Gill Sans MT" w:hAnsi="Gill Sans MT"/>
          <w:sz w:val="20"/>
          <w:szCs w:val="20"/>
        </w:rPr>
        <w:t xml:space="preserve"> marca con una X si cumple con los incisos y anota el número de cuartillas que presenta</w:t>
      </w:r>
      <w:r w:rsidR="00CD4513">
        <w:rPr>
          <w:rFonts w:ascii="Gill Sans MT" w:hAnsi="Gill Sans MT"/>
          <w:sz w:val="20"/>
          <w:szCs w:val="20"/>
        </w:rPr>
        <w:t>n</w:t>
      </w:r>
      <w:r w:rsidRPr="001223B9">
        <w:rPr>
          <w:rFonts w:ascii="Gill Sans MT" w:hAnsi="Gill Sans MT"/>
          <w:sz w:val="20"/>
          <w:szCs w:val="20"/>
        </w:rPr>
        <w:t xml:space="preserve"> por </w:t>
      </w:r>
      <w:r w:rsidR="00CD4513">
        <w:rPr>
          <w:rFonts w:ascii="Gill Sans MT" w:hAnsi="Gill Sans MT"/>
          <w:sz w:val="20"/>
          <w:szCs w:val="20"/>
        </w:rPr>
        <w:t>apartado</w:t>
      </w:r>
      <w:r w:rsidRPr="001223B9">
        <w:rPr>
          <w:rFonts w:ascii="Gill Sans MT" w:hAnsi="Gill Sans MT"/>
          <w:sz w:val="20"/>
          <w:szCs w:val="20"/>
        </w:rPr>
        <w:t>.  Marque con una X si se atienden cada uno de los subtemas de cada uno de los incisos.  Los incisos con viñeta</w:t>
      </w:r>
      <w:r w:rsidR="007144ED" w:rsidRPr="001223B9">
        <w:rPr>
          <w:rFonts w:ascii="Gill Sans MT" w:hAnsi="Gill Sans MT"/>
          <w:sz w:val="20"/>
          <w:szCs w:val="20"/>
        </w:rPr>
        <w:t xml:space="preserve"> “√</w:t>
      </w:r>
      <w:r w:rsidR="001223B9" w:rsidRPr="001223B9">
        <w:rPr>
          <w:rFonts w:ascii="Gill Sans MT" w:hAnsi="Gill Sans MT"/>
          <w:sz w:val="20"/>
          <w:szCs w:val="20"/>
        </w:rPr>
        <w:t xml:space="preserve">” y </w:t>
      </w:r>
      <w:r w:rsidRPr="001223B9">
        <w:rPr>
          <w:rFonts w:ascii="Gill Sans MT" w:hAnsi="Gill Sans MT"/>
          <w:sz w:val="20"/>
          <w:szCs w:val="20"/>
        </w:rPr>
        <w:t xml:space="preserve"> “</w:t>
      </w:r>
      <w:r w:rsidRPr="001223B9">
        <w:rPr>
          <w:rFonts w:ascii="Gill Sans MT" w:hAnsi="Gill Sans MT" w:cstheme="minorHAnsi"/>
          <w:sz w:val="20"/>
          <w:szCs w:val="20"/>
        </w:rPr>
        <w:t>•”  es obligatorio incluir y los incisos con viñeta “</w:t>
      </w:r>
      <w:r w:rsidR="00CD4513" w:rsidRPr="00CD4513">
        <w:rPr>
          <w:rFonts w:ascii="Arial" w:hAnsi="Arial" w:cs="Arial"/>
          <w:sz w:val="32"/>
          <w:szCs w:val="32"/>
        </w:rPr>
        <w:t>ₒ</w:t>
      </w:r>
      <w:r w:rsidRPr="001223B9">
        <w:rPr>
          <w:rFonts w:ascii="Gill Sans MT" w:hAnsi="Gill Sans MT" w:cs="Gill Sans MT"/>
          <w:sz w:val="20"/>
          <w:szCs w:val="20"/>
        </w:rPr>
        <w:t>”</w:t>
      </w:r>
      <w:r w:rsidRPr="001223B9">
        <w:rPr>
          <w:rFonts w:ascii="Gill Sans MT" w:hAnsi="Gill Sans MT" w:cstheme="minorHAnsi"/>
          <w:sz w:val="20"/>
          <w:szCs w:val="20"/>
        </w:rPr>
        <w:t xml:space="preserve"> son los temas a considerar para cubrir los puntos obligatorios.</w:t>
      </w:r>
    </w:p>
    <w:tbl>
      <w:tblPr>
        <w:tblStyle w:val="Tablaconcuadrcula"/>
        <w:tblW w:w="0" w:type="auto"/>
        <w:tblLayout w:type="fixed"/>
        <w:tblLook w:val="04A0" w:firstRow="1" w:lastRow="0" w:firstColumn="1" w:lastColumn="0" w:noHBand="0" w:noVBand="1"/>
      </w:tblPr>
      <w:tblGrid>
        <w:gridCol w:w="6646"/>
        <w:gridCol w:w="719"/>
        <w:gridCol w:w="540"/>
        <w:gridCol w:w="1149"/>
      </w:tblGrid>
      <w:tr w:rsidR="00812443" w:rsidRPr="001223B9" w:rsidTr="008D6896">
        <w:tc>
          <w:tcPr>
            <w:tcW w:w="9054" w:type="dxa"/>
            <w:gridSpan w:val="4"/>
          </w:tcPr>
          <w:p w:rsidR="00812443" w:rsidRPr="001223B9" w:rsidRDefault="00812443" w:rsidP="008D6896">
            <w:pPr>
              <w:jc w:val="both"/>
              <w:rPr>
                <w:rFonts w:ascii="Gill Sans MT" w:hAnsi="Gill Sans MT" w:cs="Arial"/>
                <w:sz w:val="20"/>
                <w:szCs w:val="20"/>
              </w:rPr>
            </w:pPr>
            <w:r w:rsidRPr="001223B9">
              <w:rPr>
                <w:rFonts w:ascii="Gill Sans MT" w:hAnsi="Gill Sans MT" w:cs="Arial"/>
                <w:sz w:val="20"/>
                <w:szCs w:val="20"/>
              </w:rPr>
              <w:t>Documento ProDES</w:t>
            </w:r>
          </w:p>
        </w:tc>
      </w:tr>
      <w:tr w:rsidR="00812443" w:rsidRPr="001223B9" w:rsidTr="008D6896">
        <w:tc>
          <w:tcPr>
            <w:tcW w:w="6646" w:type="dxa"/>
          </w:tcPr>
          <w:p w:rsidR="00812443" w:rsidRPr="001223B9" w:rsidRDefault="00812443" w:rsidP="008D6896">
            <w:pPr>
              <w:jc w:val="both"/>
              <w:rPr>
                <w:rFonts w:ascii="Gill Sans MT" w:hAnsi="Gill Sans MT" w:cs="Arial"/>
                <w:sz w:val="20"/>
                <w:szCs w:val="20"/>
              </w:rPr>
            </w:pPr>
          </w:p>
        </w:tc>
        <w:tc>
          <w:tcPr>
            <w:tcW w:w="719" w:type="dxa"/>
            <w:shd w:val="clear" w:color="auto" w:fill="808080" w:themeFill="background1" w:themeFillShade="80"/>
          </w:tcPr>
          <w:p w:rsidR="00812443" w:rsidRPr="001223B9" w:rsidRDefault="00812443" w:rsidP="008D6896">
            <w:pPr>
              <w:jc w:val="center"/>
              <w:rPr>
                <w:rFonts w:ascii="Gill Sans MT" w:hAnsi="Gill Sans MT" w:cs="Arial"/>
                <w:sz w:val="20"/>
                <w:szCs w:val="20"/>
              </w:rPr>
            </w:pPr>
            <w:r w:rsidRPr="001223B9">
              <w:rPr>
                <w:rFonts w:ascii="Gill Sans MT" w:hAnsi="Gill Sans MT" w:cs="Arial"/>
                <w:sz w:val="20"/>
                <w:szCs w:val="20"/>
              </w:rPr>
              <w:t>SI</w:t>
            </w:r>
          </w:p>
        </w:tc>
        <w:tc>
          <w:tcPr>
            <w:tcW w:w="540" w:type="dxa"/>
            <w:shd w:val="clear" w:color="auto" w:fill="808080" w:themeFill="background1" w:themeFillShade="80"/>
          </w:tcPr>
          <w:p w:rsidR="00812443" w:rsidRPr="001223B9" w:rsidRDefault="00812443" w:rsidP="008D6896">
            <w:pPr>
              <w:jc w:val="center"/>
              <w:rPr>
                <w:rFonts w:ascii="Gill Sans MT" w:hAnsi="Gill Sans MT" w:cs="Arial"/>
                <w:sz w:val="20"/>
                <w:szCs w:val="20"/>
              </w:rPr>
            </w:pPr>
            <w:r w:rsidRPr="001223B9">
              <w:rPr>
                <w:rFonts w:ascii="Gill Sans MT" w:hAnsi="Gill Sans MT" w:cs="Arial"/>
                <w:sz w:val="20"/>
                <w:szCs w:val="20"/>
              </w:rPr>
              <w:t>NO</w:t>
            </w:r>
          </w:p>
        </w:tc>
        <w:tc>
          <w:tcPr>
            <w:tcW w:w="1149" w:type="dxa"/>
            <w:shd w:val="clear" w:color="auto" w:fill="808080" w:themeFill="background1" w:themeFillShade="80"/>
          </w:tcPr>
          <w:p w:rsidR="00812443" w:rsidRPr="001223B9" w:rsidRDefault="00812443" w:rsidP="008D6896">
            <w:pPr>
              <w:jc w:val="center"/>
              <w:rPr>
                <w:rFonts w:ascii="Gill Sans MT" w:hAnsi="Gill Sans MT" w:cs="Arial"/>
                <w:sz w:val="20"/>
                <w:szCs w:val="20"/>
              </w:rPr>
            </w:pPr>
            <w:r w:rsidRPr="001223B9">
              <w:rPr>
                <w:rFonts w:ascii="Gill Sans MT" w:hAnsi="Gill Sans MT" w:cs="Arial"/>
                <w:sz w:val="20"/>
                <w:szCs w:val="20"/>
              </w:rPr>
              <w:t>No. de Cuartillas</w:t>
            </w:r>
          </w:p>
        </w:tc>
      </w:tr>
      <w:tr w:rsidR="00812443" w:rsidRPr="001223B9" w:rsidTr="008D6896">
        <w:tc>
          <w:tcPr>
            <w:tcW w:w="6646" w:type="dxa"/>
            <w:shd w:val="clear" w:color="auto" w:fill="BFBFBF" w:themeFill="background1" w:themeFillShade="BF"/>
          </w:tcPr>
          <w:p w:rsidR="00812443" w:rsidRPr="001223B9" w:rsidRDefault="00812443" w:rsidP="008D6896">
            <w:pPr>
              <w:numPr>
                <w:ilvl w:val="0"/>
                <w:numId w:val="5"/>
              </w:numPr>
              <w:jc w:val="both"/>
              <w:rPr>
                <w:rFonts w:ascii="Gill Sans MT" w:hAnsi="Gill Sans MT" w:cs="Arial"/>
                <w:sz w:val="20"/>
                <w:szCs w:val="20"/>
              </w:rPr>
            </w:pPr>
            <w:r w:rsidRPr="001223B9">
              <w:rPr>
                <w:rFonts w:ascii="Gill Sans MT" w:hAnsi="Gill Sans MT" w:cs="Arial"/>
                <w:sz w:val="20"/>
                <w:szCs w:val="20"/>
              </w:rPr>
              <w:t>Descripción del proceso llevado a cabo para actualizar el ProDES (Máximo una cuartilla)</w:t>
            </w:r>
          </w:p>
        </w:tc>
        <w:tc>
          <w:tcPr>
            <w:tcW w:w="719" w:type="dxa"/>
            <w:shd w:val="clear" w:color="auto" w:fill="BFBFBF" w:themeFill="background1" w:themeFillShade="BF"/>
          </w:tcPr>
          <w:p w:rsidR="00812443" w:rsidRPr="001223B9" w:rsidRDefault="00812443" w:rsidP="008D6896">
            <w:pPr>
              <w:jc w:val="both"/>
              <w:rPr>
                <w:rFonts w:ascii="Gill Sans MT" w:hAnsi="Gill Sans MT" w:cs="Arial"/>
                <w:sz w:val="20"/>
                <w:szCs w:val="20"/>
              </w:rPr>
            </w:pPr>
          </w:p>
        </w:tc>
        <w:tc>
          <w:tcPr>
            <w:tcW w:w="540" w:type="dxa"/>
            <w:shd w:val="clear" w:color="auto" w:fill="BFBFBF" w:themeFill="background1" w:themeFillShade="BF"/>
            <w:vAlign w:val="center"/>
          </w:tcPr>
          <w:p w:rsidR="00812443" w:rsidRPr="001223B9" w:rsidRDefault="00812443" w:rsidP="008D6896">
            <w:pPr>
              <w:jc w:val="center"/>
              <w:rPr>
                <w:rFonts w:ascii="Gill Sans MT" w:hAnsi="Gill Sans MT" w:cs="Arial"/>
                <w:sz w:val="20"/>
                <w:szCs w:val="20"/>
              </w:rPr>
            </w:pPr>
          </w:p>
        </w:tc>
        <w:tc>
          <w:tcPr>
            <w:tcW w:w="1149" w:type="dxa"/>
            <w:shd w:val="clear" w:color="auto" w:fill="BFBFBF" w:themeFill="background1" w:themeFillShade="BF"/>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tcPr>
          <w:p w:rsidR="00812443" w:rsidRPr="001223B9" w:rsidRDefault="00812443" w:rsidP="00DB1E7F">
            <w:pPr>
              <w:jc w:val="both"/>
              <w:rPr>
                <w:rFonts w:ascii="Gill Sans MT" w:hAnsi="Gill Sans MT" w:cs="Arial"/>
                <w:sz w:val="20"/>
                <w:szCs w:val="20"/>
              </w:rPr>
            </w:pP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shd w:val="clear" w:color="auto" w:fill="BFBFBF" w:themeFill="background1" w:themeFillShade="BF"/>
          </w:tcPr>
          <w:p w:rsidR="00812443" w:rsidRPr="001223B9" w:rsidRDefault="00812443" w:rsidP="007144ED">
            <w:pPr>
              <w:numPr>
                <w:ilvl w:val="0"/>
                <w:numId w:val="5"/>
              </w:numPr>
              <w:jc w:val="both"/>
              <w:rPr>
                <w:rFonts w:ascii="Gill Sans MT" w:hAnsi="Gill Sans MT" w:cs="Arial"/>
                <w:sz w:val="20"/>
                <w:szCs w:val="20"/>
              </w:rPr>
            </w:pPr>
            <w:r w:rsidRPr="001223B9">
              <w:rPr>
                <w:rFonts w:ascii="Gill Sans MT" w:hAnsi="Gill Sans MT" w:cs="Arial"/>
                <w:sz w:val="20"/>
                <w:szCs w:val="20"/>
              </w:rPr>
              <w:t xml:space="preserve"> Décima</w:t>
            </w:r>
            <w:r w:rsidR="005B5E6D">
              <w:rPr>
                <w:rFonts w:ascii="Gill Sans MT" w:hAnsi="Gill Sans MT" w:cs="Arial"/>
                <w:sz w:val="20"/>
                <w:szCs w:val="20"/>
              </w:rPr>
              <w:t xml:space="preserve"> </w:t>
            </w:r>
            <w:bookmarkStart w:id="0" w:name="_GoBack"/>
            <w:bookmarkEnd w:id="0"/>
            <w:r w:rsidR="005B5E6D">
              <w:rPr>
                <w:rFonts w:ascii="Gill Sans MT" w:hAnsi="Gill Sans MT" w:cs="Arial"/>
                <w:sz w:val="20"/>
                <w:szCs w:val="20"/>
              </w:rPr>
              <w:t>primera</w:t>
            </w:r>
            <w:r w:rsidRPr="001223B9">
              <w:rPr>
                <w:rFonts w:ascii="Gill Sans MT" w:hAnsi="Gill Sans MT" w:cs="Arial"/>
                <w:sz w:val="20"/>
                <w:szCs w:val="20"/>
              </w:rPr>
              <w:t xml:space="preserve"> au</w:t>
            </w:r>
            <w:r w:rsidR="007144ED" w:rsidRPr="001223B9">
              <w:rPr>
                <w:rFonts w:ascii="Gill Sans MT" w:hAnsi="Gill Sans MT" w:cs="Arial"/>
                <w:sz w:val="20"/>
                <w:szCs w:val="20"/>
              </w:rPr>
              <w:t>toevaluación de la DES (Máximo 30</w:t>
            </w:r>
            <w:r w:rsidRPr="001223B9">
              <w:rPr>
                <w:rFonts w:ascii="Gill Sans MT" w:hAnsi="Gill Sans MT" w:cs="Arial"/>
                <w:sz w:val="20"/>
                <w:szCs w:val="20"/>
              </w:rPr>
              <w:t xml:space="preserve"> cuartillas)</w:t>
            </w:r>
          </w:p>
        </w:tc>
        <w:tc>
          <w:tcPr>
            <w:tcW w:w="719" w:type="dxa"/>
            <w:shd w:val="clear" w:color="auto" w:fill="BFBFBF" w:themeFill="background1" w:themeFillShade="BF"/>
          </w:tcPr>
          <w:p w:rsidR="00812443" w:rsidRPr="001223B9" w:rsidRDefault="00812443" w:rsidP="008D6896">
            <w:pPr>
              <w:jc w:val="both"/>
              <w:rPr>
                <w:rFonts w:ascii="Gill Sans MT" w:hAnsi="Gill Sans MT" w:cs="Arial"/>
                <w:sz w:val="20"/>
                <w:szCs w:val="20"/>
              </w:rPr>
            </w:pPr>
          </w:p>
        </w:tc>
        <w:tc>
          <w:tcPr>
            <w:tcW w:w="540" w:type="dxa"/>
            <w:shd w:val="clear" w:color="auto" w:fill="BFBFBF" w:themeFill="background1" w:themeFillShade="BF"/>
          </w:tcPr>
          <w:p w:rsidR="00812443" w:rsidRPr="001223B9" w:rsidRDefault="00812443" w:rsidP="008D6896">
            <w:pPr>
              <w:jc w:val="center"/>
              <w:rPr>
                <w:rFonts w:ascii="Gill Sans MT" w:hAnsi="Gill Sans MT" w:cs="Arial"/>
                <w:sz w:val="20"/>
                <w:szCs w:val="20"/>
              </w:rPr>
            </w:pPr>
          </w:p>
        </w:tc>
        <w:tc>
          <w:tcPr>
            <w:tcW w:w="1149" w:type="dxa"/>
            <w:shd w:val="clear" w:color="auto" w:fill="BFBFBF" w:themeFill="background1" w:themeFillShade="BF"/>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tcPr>
          <w:p w:rsidR="00812443" w:rsidRPr="001223B9" w:rsidRDefault="00812443" w:rsidP="008D6896">
            <w:pPr>
              <w:numPr>
                <w:ilvl w:val="0"/>
                <w:numId w:val="1"/>
              </w:numPr>
              <w:jc w:val="both"/>
              <w:rPr>
                <w:rFonts w:ascii="Gill Sans MT" w:hAnsi="Gill Sans MT" w:cs="Arial"/>
                <w:sz w:val="20"/>
                <w:szCs w:val="20"/>
              </w:rPr>
            </w:pPr>
            <w:r w:rsidRPr="001223B9">
              <w:rPr>
                <w:rFonts w:ascii="Gill Sans MT" w:eastAsiaTheme="minorHAnsi" w:hAnsi="Gill Sans MT" w:cs="Arial"/>
                <w:sz w:val="20"/>
                <w:szCs w:val="20"/>
                <w:lang w:eastAsia="en-US"/>
              </w:rPr>
              <w:t>Análisis de la evaluación del ProDES.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243"/>
        </w:trPr>
        <w:tc>
          <w:tcPr>
            <w:tcW w:w="6646" w:type="dxa"/>
          </w:tcPr>
          <w:p w:rsidR="00812443" w:rsidRPr="001223B9" w:rsidRDefault="00812443" w:rsidP="008D6896">
            <w:pPr>
              <w:numPr>
                <w:ilvl w:val="1"/>
                <w:numId w:val="1"/>
              </w:numPr>
              <w:autoSpaceDE w:val="0"/>
              <w:autoSpaceDN w:val="0"/>
              <w:adjustRightInd w:val="0"/>
              <w:rPr>
                <w:rFonts w:ascii="Gill Sans MT" w:hAnsi="Gill Sans MT" w:cs="Arial"/>
                <w:sz w:val="20"/>
                <w:szCs w:val="20"/>
              </w:rPr>
            </w:pPr>
            <w:r w:rsidRPr="001223B9">
              <w:rPr>
                <w:rFonts w:ascii="Gill Sans MT" w:eastAsiaTheme="minorHAnsi" w:hAnsi="Gill Sans MT" w:cs="Arial"/>
                <w:sz w:val="20"/>
                <w:szCs w:val="20"/>
                <w:lang w:eastAsia="en-US"/>
              </w:rPr>
              <w:t>Identificación de fortalezas y debilidades del ProDES.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421"/>
        </w:trPr>
        <w:tc>
          <w:tcPr>
            <w:tcW w:w="6646" w:type="dxa"/>
          </w:tcPr>
          <w:p w:rsidR="00812443" w:rsidRPr="001223B9" w:rsidRDefault="00812443" w:rsidP="008D6896">
            <w:pPr>
              <w:numPr>
                <w:ilvl w:val="1"/>
                <w:numId w:val="1"/>
              </w:numPr>
              <w:autoSpaceDE w:val="0"/>
              <w:autoSpaceDN w:val="0"/>
              <w:adjustRightInd w:val="0"/>
              <w:rPr>
                <w:rFonts w:ascii="Gill Sans MT" w:eastAsiaTheme="minorHAnsi" w:hAnsi="Gill Sans MT" w:cs="Arial"/>
                <w:sz w:val="20"/>
                <w:szCs w:val="20"/>
                <w:lang w:eastAsia="en-US"/>
              </w:rPr>
            </w:pPr>
            <w:r w:rsidRPr="001223B9">
              <w:rPr>
                <w:rFonts w:ascii="Gill Sans MT" w:eastAsiaTheme="minorHAnsi" w:hAnsi="Gill Sans MT" w:cs="Arial"/>
                <w:sz w:val="20"/>
                <w:szCs w:val="20"/>
                <w:lang w:eastAsia="en-US"/>
              </w:rPr>
              <w:t xml:space="preserve">Comparar aspectos con </w:t>
            </w:r>
            <w:proofErr w:type="gramStart"/>
            <w:r w:rsidRPr="001223B9">
              <w:rPr>
                <w:rFonts w:ascii="Gill Sans MT" w:eastAsiaTheme="minorHAnsi" w:hAnsi="Gill Sans MT" w:cs="Arial"/>
                <w:sz w:val="20"/>
                <w:szCs w:val="20"/>
                <w:lang w:eastAsia="en-US"/>
              </w:rPr>
              <w:t>evaluación similar y diferentes</w:t>
            </w:r>
            <w:proofErr w:type="gramEnd"/>
            <w:r w:rsidRPr="001223B9">
              <w:rPr>
                <w:rFonts w:ascii="Gill Sans MT" w:eastAsiaTheme="minorHAnsi" w:hAnsi="Gill Sans MT" w:cs="Arial"/>
                <w:sz w:val="20"/>
                <w:szCs w:val="20"/>
                <w:lang w:eastAsia="en-US"/>
              </w:rPr>
              <w:t xml:space="preserve"> con respecto a otros ProDES.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257"/>
        </w:trPr>
        <w:tc>
          <w:tcPr>
            <w:tcW w:w="6646" w:type="dxa"/>
          </w:tcPr>
          <w:p w:rsidR="00812443" w:rsidRPr="001223B9" w:rsidRDefault="00812443" w:rsidP="008D6896">
            <w:pPr>
              <w:numPr>
                <w:ilvl w:val="1"/>
                <w:numId w:val="1"/>
              </w:numPr>
              <w:autoSpaceDE w:val="0"/>
              <w:autoSpaceDN w:val="0"/>
              <w:adjustRightInd w:val="0"/>
              <w:rPr>
                <w:rFonts w:ascii="Gill Sans MT" w:eastAsiaTheme="minorHAnsi" w:hAnsi="Gill Sans MT" w:cs="Arial"/>
                <w:sz w:val="20"/>
                <w:szCs w:val="20"/>
                <w:lang w:eastAsia="en-US"/>
              </w:rPr>
            </w:pPr>
            <w:r w:rsidRPr="001223B9">
              <w:rPr>
                <w:rFonts w:ascii="Gill Sans MT" w:eastAsiaTheme="minorHAnsi" w:hAnsi="Gill Sans MT" w:cs="Arial"/>
                <w:sz w:val="20"/>
                <w:szCs w:val="20"/>
                <w:lang w:eastAsia="en-US"/>
              </w:rPr>
              <w:t>Programas Educativos con indicadores sobresalientes.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521"/>
        </w:trPr>
        <w:tc>
          <w:tcPr>
            <w:tcW w:w="6646" w:type="dxa"/>
          </w:tcPr>
          <w:p w:rsidR="00812443" w:rsidRPr="001223B9" w:rsidRDefault="00812443" w:rsidP="008D6896">
            <w:pPr>
              <w:numPr>
                <w:ilvl w:val="1"/>
                <w:numId w:val="1"/>
              </w:numPr>
              <w:autoSpaceDE w:val="0"/>
              <w:autoSpaceDN w:val="0"/>
              <w:adjustRightInd w:val="0"/>
              <w:rPr>
                <w:rFonts w:ascii="Gill Sans MT" w:eastAsiaTheme="minorHAnsi" w:hAnsi="Gill Sans MT" w:cs="Arial"/>
                <w:sz w:val="20"/>
                <w:szCs w:val="20"/>
                <w:lang w:eastAsia="en-US"/>
              </w:rPr>
            </w:pPr>
            <w:r w:rsidRPr="001223B9">
              <w:rPr>
                <w:rFonts w:ascii="Gill Sans MT" w:eastAsiaTheme="minorHAnsi" w:hAnsi="Gill Sans MT" w:cs="Arial"/>
                <w:sz w:val="20"/>
                <w:szCs w:val="20"/>
                <w:lang w:eastAsia="en-US"/>
              </w:rPr>
              <w:t>Atención a las áreas débiles y a las recomendaciones del Comi</w:t>
            </w:r>
            <w:r w:rsidR="00743DFC" w:rsidRPr="001223B9">
              <w:rPr>
                <w:rFonts w:ascii="Gill Sans MT" w:eastAsiaTheme="minorHAnsi" w:hAnsi="Gill Sans MT" w:cs="Arial"/>
                <w:sz w:val="20"/>
                <w:szCs w:val="20"/>
                <w:lang w:eastAsia="en-US"/>
              </w:rPr>
              <w:t>té de Evaluación del ProDES 2012-2013</w:t>
            </w:r>
            <w:r w:rsidRPr="001223B9">
              <w:rPr>
                <w:rFonts w:ascii="Gill Sans MT" w:eastAsiaTheme="minorHAnsi" w:hAnsi="Gill Sans MT" w:cs="Arial"/>
                <w:sz w:val="20"/>
                <w:szCs w:val="20"/>
                <w:lang w:eastAsia="en-US"/>
              </w:rPr>
              <w:t>.</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1091"/>
        </w:trPr>
        <w:tc>
          <w:tcPr>
            <w:tcW w:w="6646" w:type="dxa"/>
          </w:tcPr>
          <w:p w:rsidR="00812443" w:rsidRPr="001223B9" w:rsidRDefault="00812443" w:rsidP="008D6896">
            <w:pPr>
              <w:numPr>
                <w:ilvl w:val="1"/>
                <w:numId w:val="1"/>
              </w:numPr>
              <w:autoSpaceDE w:val="0"/>
              <w:autoSpaceDN w:val="0"/>
              <w:adjustRightInd w:val="0"/>
              <w:rPr>
                <w:rFonts w:ascii="Gill Sans MT" w:eastAsiaTheme="minorHAnsi" w:hAnsi="Gill Sans MT" w:cs="Arial"/>
                <w:sz w:val="20"/>
                <w:szCs w:val="20"/>
                <w:lang w:eastAsia="en-US"/>
              </w:rPr>
            </w:pPr>
            <w:r w:rsidRPr="001223B9">
              <w:rPr>
                <w:rFonts w:ascii="Gill Sans MT" w:eastAsiaTheme="minorHAnsi" w:hAnsi="Gill Sans MT" w:cs="Arial"/>
                <w:sz w:val="20"/>
                <w:szCs w:val="20"/>
                <w:lang w:eastAsia="en-US"/>
              </w:rPr>
              <w:t>Principales conclusiones sobre:</w:t>
            </w:r>
          </w:p>
          <w:p w:rsidR="00812443" w:rsidRPr="001223B9" w:rsidRDefault="00812443" w:rsidP="008D6896">
            <w:pPr>
              <w:numPr>
                <w:ilvl w:val="2"/>
                <w:numId w:val="1"/>
              </w:numPr>
              <w:autoSpaceDE w:val="0"/>
              <w:autoSpaceDN w:val="0"/>
              <w:adjustRightInd w:val="0"/>
              <w:rPr>
                <w:rFonts w:ascii="Gill Sans MT" w:eastAsiaTheme="minorHAnsi" w:hAnsi="Gill Sans MT" w:cs="Arial"/>
                <w:sz w:val="20"/>
                <w:szCs w:val="20"/>
                <w:lang w:eastAsia="en-US"/>
              </w:rPr>
            </w:pPr>
            <w:r w:rsidRPr="001223B9">
              <w:rPr>
                <w:rFonts w:ascii="Gill Sans MT" w:eastAsiaTheme="minorHAnsi" w:hAnsi="Gill Sans MT" w:cs="Arial"/>
                <w:sz w:val="20"/>
                <w:szCs w:val="20"/>
                <w:lang w:eastAsia="en-US"/>
              </w:rPr>
              <w:t>Políticas,</w:t>
            </w:r>
          </w:p>
          <w:p w:rsidR="00812443" w:rsidRPr="001223B9" w:rsidRDefault="00812443" w:rsidP="008D6896">
            <w:pPr>
              <w:numPr>
                <w:ilvl w:val="2"/>
                <w:numId w:val="1"/>
              </w:numPr>
              <w:autoSpaceDE w:val="0"/>
              <w:autoSpaceDN w:val="0"/>
              <w:adjustRightInd w:val="0"/>
              <w:rPr>
                <w:rFonts w:ascii="Gill Sans MT" w:eastAsiaTheme="minorHAnsi" w:hAnsi="Gill Sans MT" w:cs="Arial"/>
                <w:sz w:val="20"/>
                <w:szCs w:val="20"/>
                <w:lang w:eastAsia="en-US"/>
              </w:rPr>
            </w:pPr>
            <w:r w:rsidRPr="001223B9">
              <w:rPr>
                <w:rFonts w:ascii="Gill Sans MT" w:eastAsiaTheme="minorHAnsi" w:hAnsi="Gill Sans MT" w:cs="Arial"/>
                <w:sz w:val="20"/>
                <w:szCs w:val="20"/>
                <w:lang w:eastAsia="en-US"/>
              </w:rPr>
              <w:t xml:space="preserve">Objetivos, </w:t>
            </w:r>
          </w:p>
          <w:p w:rsidR="00812443" w:rsidRPr="001223B9" w:rsidRDefault="00812443" w:rsidP="008D6896">
            <w:pPr>
              <w:numPr>
                <w:ilvl w:val="2"/>
                <w:numId w:val="1"/>
              </w:numPr>
              <w:autoSpaceDE w:val="0"/>
              <w:autoSpaceDN w:val="0"/>
              <w:adjustRightInd w:val="0"/>
              <w:rPr>
                <w:rFonts w:ascii="Gill Sans MT" w:hAnsi="Gill Sans MT" w:cs="Arial"/>
                <w:sz w:val="20"/>
                <w:szCs w:val="20"/>
              </w:rPr>
            </w:pPr>
            <w:r w:rsidRPr="001223B9">
              <w:rPr>
                <w:rFonts w:ascii="Gill Sans MT" w:eastAsiaTheme="minorHAnsi" w:hAnsi="Gill Sans MT" w:cs="Arial"/>
                <w:sz w:val="20"/>
                <w:szCs w:val="20"/>
                <w:lang w:eastAsia="en-US"/>
              </w:rPr>
              <w:t xml:space="preserve">Estrategias y </w:t>
            </w:r>
          </w:p>
          <w:p w:rsidR="00812443" w:rsidRPr="001223B9" w:rsidRDefault="00812443" w:rsidP="008D6896">
            <w:pPr>
              <w:numPr>
                <w:ilvl w:val="2"/>
                <w:numId w:val="1"/>
              </w:numPr>
              <w:autoSpaceDE w:val="0"/>
              <w:autoSpaceDN w:val="0"/>
              <w:adjustRightInd w:val="0"/>
              <w:rPr>
                <w:rFonts w:ascii="Gill Sans MT" w:eastAsiaTheme="minorHAnsi" w:hAnsi="Gill Sans MT" w:cs="Arial"/>
                <w:sz w:val="20"/>
                <w:szCs w:val="20"/>
                <w:lang w:eastAsia="en-US"/>
              </w:rPr>
            </w:pPr>
            <w:r w:rsidRPr="001223B9">
              <w:rPr>
                <w:rFonts w:ascii="Gill Sans MT" w:eastAsiaTheme="minorHAnsi" w:hAnsi="Gill Sans MT" w:cs="Arial"/>
                <w:sz w:val="20"/>
                <w:szCs w:val="20"/>
                <w:lang w:eastAsia="en-US"/>
              </w:rPr>
              <w:t>Resultados.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1205"/>
        </w:trPr>
        <w:tc>
          <w:tcPr>
            <w:tcW w:w="6646" w:type="dxa"/>
          </w:tcPr>
          <w:p w:rsidR="00812443" w:rsidRPr="001223B9" w:rsidRDefault="00812443" w:rsidP="008D6896">
            <w:pPr>
              <w:numPr>
                <w:ilvl w:val="0"/>
                <w:numId w:val="1"/>
              </w:numPr>
              <w:autoSpaceDE w:val="0"/>
              <w:autoSpaceDN w:val="0"/>
              <w:adjustRightInd w:val="0"/>
              <w:rPr>
                <w:rFonts w:ascii="Gill Sans MT" w:eastAsiaTheme="minorHAnsi" w:hAnsi="Gill Sans MT" w:cs="Arial"/>
                <w:sz w:val="20"/>
                <w:szCs w:val="20"/>
                <w:lang w:eastAsia="en-US"/>
              </w:rPr>
            </w:pPr>
            <w:r w:rsidRPr="001223B9">
              <w:rPr>
                <w:rFonts w:ascii="Gill Sans MT" w:eastAsiaTheme="minorHAnsi" w:hAnsi="Gill Sans MT" w:cs="Arial"/>
                <w:sz w:val="20"/>
                <w:szCs w:val="20"/>
                <w:lang w:eastAsia="en-US"/>
              </w:rPr>
              <w:t>Análisis de la pertinencia de los programas y servicios académicos. (Anexo X</w:t>
            </w:r>
            <w:r w:rsidR="009E14BC">
              <w:rPr>
                <w:rFonts w:ascii="Gill Sans MT" w:eastAsiaTheme="minorHAnsi" w:hAnsi="Gill Sans MT" w:cs="Arial"/>
                <w:sz w:val="20"/>
                <w:szCs w:val="20"/>
                <w:lang w:eastAsia="en-US"/>
              </w:rPr>
              <w:t>I</w:t>
            </w:r>
            <w:r w:rsidRPr="001223B9">
              <w:rPr>
                <w:rFonts w:ascii="Gill Sans MT" w:eastAsiaTheme="minorHAnsi" w:hAnsi="Gill Sans MT" w:cs="Arial"/>
                <w:sz w:val="20"/>
                <w:szCs w:val="20"/>
                <w:lang w:eastAsia="en-US"/>
              </w:rPr>
              <w:t>V)</w:t>
            </w:r>
          </w:p>
          <w:p w:rsidR="00812443" w:rsidRPr="001223B9" w:rsidRDefault="00812443" w:rsidP="008D6896">
            <w:pPr>
              <w:autoSpaceDE w:val="0"/>
              <w:autoSpaceDN w:val="0"/>
              <w:adjustRightInd w:val="0"/>
              <w:ind w:left="360"/>
              <w:rPr>
                <w:rFonts w:ascii="Gill Sans MT" w:eastAsiaTheme="minorHAnsi" w:hAnsi="Gill Sans MT" w:cs="Arial"/>
                <w:sz w:val="20"/>
                <w:szCs w:val="20"/>
                <w:lang w:eastAsia="en-US"/>
              </w:rPr>
            </w:pPr>
            <w:r w:rsidRPr="001223B9">
              <w:rPr>
                <w:rFonts w:ascii="Gill Sans MT" w:eastAsiaTheme="minorHAnsi" w:hAnsi="Gill Sans MT" w:cs="Arial"/>
                <w:sz w:val="20"/>
                <w:szCs w:val="20"/>
                <w:lang w:eastAsia="en-US"/>
              </w:rPr>
              <w:t>Para garantizar la pertinencia de los PE de la DES, se debe analizar y actualizar aspectos en cuanto a:</w:t>
            </w:r>
          </w:p>
          <w:p w:rsidR="00812443" w:rsidRPr="001223B9" w:rsidRDefault="00812443" w:rsidP="008D6896">
            <w:pPr>
              <w:numPr>
                <w:ilvl w:val="1"/>
                <w:numId w:val="1"/>
              </w:numPr>
              <w:autoSpaceDE w:val="0"/>
              <w:autoSpaceDN w:val="0"/>
              <w:adjustRightInd w:val="0"/>
              <w:jc w:val="both"/>
              <w:rPr>
                <w:rFonts w:ascii="Gill Sans MT" w:hAnsi="Gill Sans MT" w:cs="Arial"/>
                <w:sz w:val="20"/>
                <w:szCs w:val="20"/>
              </w:rPr>
            </w:pPr>
            <w:r w:rsidRPr="001223B9">
              <w:rPr>
                <w:rFonts w:ascii="Gill Sans MT" w:eastAsiaTheme="minorHAnsi" w:hAnsi="Gill Sans MT" w:cs="Arial"/>
                <w:sz w:val="20"/>
                <w:szCs w:val="20"/>
                <w:lang w:eastAsia="en-US"/>
              </w:rPr>
              <w:t>Las prioridades establecidas por los planes de desarrollo</w:t>
            </w:r>
            <w:r w:rsidR="00743DFC" w:rsidRPr="001223B9">
              <w:rPr>
                <w:rFonts w:ascii="Gill Sans MT" w:eastAsiaTheme="minorHAnsi" w:hAnsi="Gill Sans MT" w:cs="DejaVuSerifCondensed"/>
                <w:sz w:val="20"/>
                <w:szCs w:val="20"/>
                <w:lang w:eastAsia="en-US"/>
              </w:rPr>
              <w:t xml:space="preserve"> (institucional, estatal y nacional).</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663"/>
        </w:trPr>
        <w:tc>
          <w:tcPr>
            <w:tcW w:w="6646" w:type="dxa"/>
          </w:tcPr>
          <w:p w:rsidR="00812443" w:rsidRPr="001223B9" w:rsidRDefault="00812443" w:rsidP="008D6896">
            <w:pPr>
              <w:numPr>
                <w:ilvl w:val="1"/>
                <w:numId w:val="1"/>
              </w:numPr>
              <w:autoSpaceDE w:val="0"/>
              <w:autoSpaceDN w:val="0"/>
              <w:adjustRightInd w:val="0"/>
              <w:jc w:val="both"/>
              <w:rPr>
                <w:rFonts w:ascii="Gill Sans MT" w:hAnsi="Gill Sans MT" w:cs="Arial"/>
                <w:sz w:val="20"/>
                <w:szCs w:val="20"/>
              </w:rPr>
            </w:pPr>
          </w:p>
          <w:p w:rsidR="00812443" w:rsidRPr="001223B9" w:rsidRDefault="00812443" w:rsidP="008D6896">
            <w:pPr>
              <w:numPr>
                <w:ilvl w:val="1"/>
                <w:numId w:val="1"/>
              </w:numPr>
              <w:autoSpaceDE w:val="0"/>
              <w:autoSpaceDN w:val="0"/>
              <w:adjustRightInd w:val="0"/>
              <w:jc w:val="both"/>
              <w:rPr>
                <w:rFonts w:ascii="Gill Sans MT" w:eastAsiaTheme="minorHAnsi" w:hAnsi="Gill Sans MT" w:cs="Arial"/>
                <w:sz w:val="20"/>
                <w:szCs w:val="20"/>
                <w:lang w:eastAsia="en-US"/>
              </w:rPr>
            </w:pPr>
            <w:r w:rsidRPr="001223B9">
              <w:rPr>
                <w:rFonts w:ascii="Gill Sans MT" w:eastAsiaTheme="minorHAnsi" w:hAnsi="Gill Sans MT" w:cs="Arial"/>
                <w:sz w:val="20"/>
                <w:szCs w:val="20"/>
                <w:lang w:eastAsia="en-US"/>
              </w:rPr>
              <w:t>El resultado de los estudios de oferta y demanda educativa (factibilidad).</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471"/>
        </w:trPr>
        <w:tc>
          <w:tcPr>
            <w:tcW w:w="6646" w:type="dxa"/>
          </w:tcPr>
          <w:p w:rsidR="00812443" w:rsidRPr="001223B9" w:rsidRDefault="00812443" w:rsidP="008D6896">
            <w:pPr>
              <w:numPr>
                <w:ilvl w:val="1"/>
                <w:numId w:val="1"/>
              </w:numPr>
              <w:autoSpaceDE w:val="0"/>
              <w:autoSpaceDN w:val="0"/>
              <w:adjustRightInd w:val="0"/>
              <w:jc w:val="both"/>
              <w:rPr>
                <w:rFonts w:ascii="Gill Sans MT" w:hAnsi="Gill Sans MT" w:cs="Arial"/>
                <w:sz w:val="20"/>
                <w:szCs w:val="20"/>
              </w:rPr>
            </w:pPr>
            <w:r w:rsidRPr="001223B9">
              <w:rPr>
                <w:rFonts w:ascii="Gill Sans MT" w:eastAsiaTheme="minorHAnsi" w:hAnsi="Gill Sans MT" w:cs="Arial"/>
                <w:sz w:val="20"/>
                <w:szCs w:val="20"/>
                <w:lang w:eastAsia="en-US"/>
              </w:rPr>
              <w:t>El resultado de los estudios de seguimiento de egresados y empleadores (</w:t>
            </w:r>
            <w:r w:rsidR="00CD4513" w:rsidRPr="001223B9">
              <w:rPr>
                <w:rFonts w:ascii="Gill Sans MT" w:eastAsiaTheme="minorHAnsi" w:hAnsi="Gill Sans MT" w:cs="Arial"/>
                <w:sz w:val="20"/>
                <w:szCs w:val="20"/>
                <w:lang w:eastAsia="en-US"/>
              </w:rPr>
              <w:t>Véase</w:t>
            </w:r>
            <w:r w:rsidRPr="001223B9">
              <w:rPr>
                <w:rFonts w:ascii="Gill Sans MT" w:eastAsiaTheme="minorHAnsi" w:hAnsi="Gill Sans MT" w:cs="Arial"/>
                <w:sz w:val="20"/>
                <w:szCs w:val="20"/>
                <w:lang w:eastAsia="en-US"/>
              </w:rPr>
              <w:t xml:space="preserve"> Anexo III).</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863"/>
        </w:trPr>
        <w:tc>
          <w:tcPr>
            <w:tcW w:w="6646" w:type="dxa"/>
          </w:tcPr>
          <w:p w:rsidR="00812443" w:rsidRPr="001223B9" w:rsidRDefault="00812443" w:rsidP="008D6896">
            <w:pPr>
              <w:numPr>
                <w:ilvl w:val="1"/>
                <w:numId w:val="1"/>
              </w:numPr>
              <w:autoSpaceDE w:val="0"/>
              <w:autoSpaceDN w:val="0"/>
              <w:adjustRightInd w:val="0"/>
              <w:jc w:val="both"/>
              <w:rPr>
                <w:rFonts w:ascii="Gill Sans MT" w:eastAsiaTheme="minorHAnsi" w:hAnsi="Gill Sans MT" w:cs="Arial"/>
                <w:sz w:val="20"/>
                <w:szCs w:val="20"/>
                <w:lang w:eastAsia="en-US"/>
              </w:rPr>
            </w:pPr>
            <w:r w:rsidRPr="001223B9">
              <w:rPr>
                <w:rFonts w:ascii="Gill Sans MT" w:eastAsiaTheme="minorHAnsi" w:hAnsi="Gill Sans MT" w:cs="Arial"/>
                <w:sz w:val="20"/>
                <w:szCs w:val="20"/>
                <w:lang w:eastAsia="en-US"/>
              </w:rPr>
              <w:t>La atención y formación integral del estudiante en cuanto a conocimientos, metodologías, aptitudes, actitudes, destrezas, habilidades, competencias laborales y valores; todo ello con compromiso social.</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414"/>
        </w:trPr>
        <w:tc>
          <w:tcPr>
            <w:tcW w:w="6646" w:type="dxa"/>
          </w:tcPr>
          <w:p w:rsidR="00812443" w:rsidRPr="001223B9" w:rsidRDefault="00812443" w:rsidP="008D6896">
            <w:pPr>
              <w:numPr>
                <w:ilvl w:val="1"/>
                <w:numId w:val="1"/>
              </w:numPr>
              <w:autoSpaceDE w:val="0"/>
              <w:autoSpaceDN w:val="0"/>
              <w:adjustRightInd w:val="0"/>
              <w:jc w:val="both"/>
              <w:rPr>
                <w:rFonts w:ascii="Gill Sans MT" w:eastAsiaTheme="minorHAnsi" w:hAnsi="Gill Sans MT" w:cs="Arial"/>
                <w:sz w:val="20"/>
                <w:szCs w:val="20"/>
                <w:lang w:eastAsia="en-US"/>
              </w:rPr>
            </w:pPr>
            <w:r w:rsidRPr="001223B9">
              <w:rPr>
                <w:rFonts w:ascii="Gill Sans MT" w:eastAsiaTheme="minorHAnsi" w:hAnsi="Gill Sans MT" w:cs="Arial"/>
                <w:sz w:val="20"/>
                <w:szCs w:val="20"/>
                <w:lang w:eastAsia="en-US"/>
              </w:rPr>
              <w:t>Sí el modelo pedagógico actual es el adecuado para la atención y formación integral del estudiante.</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1490"/>
        </w:trPr>
        <w:tc>
          <w:tcPr>
            <w:tcW w:w="6646" w:type="dxa"/>
          </w:tcPr>
          <w:p w:rsidR="00812443" w:rsidRPr="001223B9" w:rsidRDefault="00812443" w:rsidP="008D6896">
            <w:pPr>
              <w:numPr>
                <w:ilvl w:val="1"/>
                <w:numId w:val="1"/>
              </w:numPr>
              <w:autoSpaceDE w:val="0"/>
              <w:autoSpaceDN w:val="0"/>
              <w:adjustRightInd w:val="0"/>
              <w:jc w:val="both"/>
              <w:rPr>
                <w:rFonts w:ascii="Gill Sans MT" w:eastAsiaTheme="minorHAnsi" w:hAnsi="Gill Sans MT" w:cs="Arial"/>
                <w:sz w:val="20"/>
                <w:szCs w:val="20"/>
                <w:lang w:eastAsia="en-US"/>
              </w:rPr>
            </w:pPr>
            <w:r w:rsidRPr="001223B9">
              <w:rPr>
                <w:rFonts w:ascii="Gill Sans MT" w:eastAsiaTheme="minorHAnsi" w:hAnsi="Gill Sans MT" w:cs="Arial"/>
                <w:sz w:val="20"/>
                <w:szCs w:val="20"/>
                <w:lang w:eastAsia="en-US"/>
              </w:rPr>
              <w:t>En materia de investigación, dar cuenta de la existencia de programas y proyectos que tengan como objeto de estudio, problemas de la realidad nacional y la búsqueda de la solución de ellos o la generación de alternativas que contribuyan a crear mayor riqueza y mejores condiciones de vida para las personas.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tcPr>
          <w:p w:rsidR="00812443" w:rsidRPr="001223B9" w:rsidRDefault="00812443" w:rsidP="007144ED">
            <w:pPr>
              <w:pStyle w:val="Prrafodelista"/>
              <w:numPr>
                <w:ilvl w:val="0"/>
                <w:numId w:val="17"/>
              </w:numPr>
              <w:jc w:val="both"/>
              <w:rPr>
                <w:rFonts w:ascii="Gill Sans MT" w:hAnsi="Gill Sans MT" w:cs="Arial"/>
                <w:sz w:val="20"/>
                <w:szCs w:val="20"/>
              </w:rPr>
            </w:pPr>
            <w:r w:rsidRPr="001223B9">
              <w:rPr>
                <w:rFonts w:ascii="Gill Sans MT" w:hAnsi="Gill Sans MT" w:cs="Arial"/>
                <w:sz w:val="20"/>
                <w:szCs w:val="20"/>
              </w:rPr>
              <w:t xml:space="preserve">Tabla resumen del análisis de la pertinencias de los PE de la DES </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tcPr>
          <w:p w:rsidR="00812443" w:rsidRPr="001223B9" w:rsidRDefault="00812443" w:rsidP="008D6896">
            <w:pPr>
              <w:numPr>
                <w:ilvl w:val="0"/>
                <w:numId w:val="14"/>
              </w:numPr>
              <w:jc w:val="both"/>
              <w:rPr>
                <w:rFonts w:ascii="Gill Sans MT" w:hAnsi="Gill Sans MT" w:cs="Arial"/>
                <w:sz w:val="20"/>
                <w:szCs w:val="20"/>
              </w:rPr>
            </w:pPr>
            <w:r w:rsidRPr="001223B9">
              <w:rPr>
                <w:rFonts w:ascii="Gill Sans MT" w:hAnsi="Gill Sans MT" w:cs="Arial"/>
                <w:sz w:val="20"/>
                <w:szCs w:val="20"/>
              </w:rPr>
              <w:t>Análisis de los programas educativos de posgrado</w:t>
            </w:r>
          </w:p>
          <w:p w:rsidR="00743DFC" w:rsidRPr="001223B9" w:rsidRDefault="00743DFC" w:rsidP="00743DFC">
            <w:pPr>
              <w:autoSpaceDE w:val="0"/>
              <w:autoSpaceDN w:val="0"/>
              <w:adjustRightInd w:val="0"/>
              <w:rPr>
                <w:rFonts w:ascii="Gill Sans MT" w:eastAsiaTheme="minorHAnsi" w:hAnsi="Gill Sans MT" w:cs="DejaVuSerifCondensed"/>
                <w:color w:val="000000"/>
                <w:sz w:val="20"/>
                <w:szCs w:val="20"/>
                <w:lang w:eastAsia="en-US"/>
              </w:rPr>
            </w:pPr>
            <w:r w:rsidRPr="001223B9">
              <w:rPr>
                <w:rFonts w:ascii="Gill Sans MT" w:eastAsiaTheme="minorHAnsi" w:hAnsi="Gill Sans MT" w:cs="DejaVuSerifCondensed"/>
                <w:color w:val="000000"/>
                <w:sz w:val="20"/>
                <w:szCs w:val="20"/>
                <w:lang w:eastAsia="en-US"/>
              </w:rPr>
              <w:t>Es importante continuar analizando la evolución de los principales indicadores de calidad de los PE de posgrado, para</w:t>
            </w:r>
            <w:r w:rsidR="008D6896" w:rsidRPr="001223B9">
              <w:rPr>
                <w:rFonts w:ascii="Gill Sans MT" w:eastAsiaTheme="minorHAnsi" w:hAnsi="Gill Sans MT" w:cs="DejaVuSerifCondensed"/>
                <w:color w:val="000000"/>
                <w:sz w:val="20"/>
                <w:szCs w:val="20"/>
                <w:lang w:eastAsia="en-US"/>
              </w:rPr>
              <w:t xml:space="preserve"> </w:t>
            </w:r>
            <w:r w:rsidRPr="001223B9">
              <w:rPr>
                <w:rFonts w:ascii="Gill Sans MT" w:eastAsiaTheme="minorHAnsi" w:hAnsi="Gill Sans MT" w:cs="DejaVuSerifCondensed"/>
                <w:color w:val="000000"/>
                <w:sz w:val="20"/>
                <w:szCs w:val="20"/>
                <w:lang w:eastAsia="en-US"/>
              </w:rPr>
              <w:t xml:space="preserve">diseñar, adecuar o enriquecer las políticas y estrategias que permitan incrementar su calidad y pertinencia. La </w:t>
            </w:r>
            <w:r w:rsidRPr="001223B9">
              <w:rPr>
                <w:rFonts w:ascii="Gill Sans MT" w:eastAsiaTheme="minorHAnsi" w:hAnsi="Gill Sans MT" w:cs="DejaVuSerifCondensed"/>
                <w:color w:val="000000"/>
                <w:sz w:val="20"/>
                <w:szCs w:val="20"/>
                <w:lang w:eastAsia="en-US"/>
              </w:rPr>
              <w:lastRenderedPageBreak/>
              <w:t>prioridad</w:t>
            </w:r>
            <w:r w:rsidR="008D6896" w:rsidRPr="001223B9">
              <w:rPr>
                <w:rFonts w:ascii="Gill Sans MT" w:eastAsiaTheme="minorHAnsi" w:hAnsi="Gill Sans MT" w:cs="DejaVuSerifCondensed"/>
                <w:color w:val="000000"/>
                <w:sz w:val="20"/>
                <w:szCs w:val="20"/>
                <w:lang w:eastAsia="en-US"/>
              </w:rPr>
              <w:t xml:space="preserve"> </w:t>
            </w:r>
            <w:r w:rsidRPr="001223B9">
              <w:rPr>
                <w:rFonts w:ascii="Gill Sans MT" w:eastAsiaTheme="minorHAnsi" w:hAnsi="Gill Sans MT" w:cs="DejaVuSerifCondensed"/>
                <w:color w:val="000000"/>
                <w:sz w:val="20"/>
                <w:szCs w:val="20"/>
                <w:lang w:eastAsia="en-US"/>
              </w:rPr>
              <w:t>del PIFI es la calidad del posgrado, sin descuidar el avance y asegurar la calidad de los PE de TSU y Licenciatura, para ello</w:t>
            </w:r>
            <w:r w:rsidR="008D6896" w:rsidRPr="001223B9">
              <w:rPr>
                <w:rFonts w:ascii="Gill Sans MT" w:eastAsiaTheme="minorHAnsi" w:hAnsi="Gill Sans MT" w:cs="DejaVuSerifCondensed"/>
                <w:color w:val="000000"/>
                <w:sz w:val="20"/>
                <w:szCs w:val="20"/>
                <w:lang w:eastAsia="en-US"/>
              </w:rPr>
              <w:t xml:space="preserve"> </w:t>
            </w:r>
            <w:r w:rsidRPr="001223B9">
              <w:rPr>
                <w:rFonts w:ascii="Gill Sans MT" w:eastAsiaTheme="minorHAnsi" w:hAnsi="Gill Sans MT" w:cs="DejaVuSerifCondensed"/>
                <w:color w:val="000000"/>
                <w:sz w:val="20"/>
                <w:szCs w:val="20"/>
                <w:lang w:eastAsia="en-US"/>
              </w:rPr>
              <w:t>se recomienda seguir la metodología propuesta por el Programa Nacional de Posgrado de Calidad (PNPC) SEP-</w:t>
            </w:r>
            <w:proofErr w:type="spellStart"/>
            <w:r w:rsidRPr="001223B9">
              <w:rPr>
                <w:rFonts w:ascii="Gill Sans MT" w:eastAsiaTheme="minorHAnsi" w:hAnsi="Gill Sans MT" w:cs="DejaVuSerifCondensed"/>
                <w:color w:val="000000"/>
                <w:sz w:val="20"/>
                <w:szCs w:val="20"/>
                <w:lang w:eastAsia="en-US"/>
              </w:rPr>
              <w:t>CONACyT</w:t>
            </w:r>
            <w:proofErr w:type="spellEnd"/>
            <w:r w:rsidRPr="001223B9">
              <w:rPr>
                <w:rFonts w:ascii="Gill Sans MT" w:eastAsiaTheme="minorHAnsi" w:hAnsi="Gill Sans MT" w:cs="DejaVuSerifCondensed"/>
                <w:color w:val="000000"/>
                <w:sz w:val="20"/>
                <w:szCs w:val="20"/>
                <w:lang w:eastAsia="en-US"/>
              </w:rPr>
              <w:t>,</w:t>
            </w:r>
            <w:r w:rsidR="008D6896" w:rsidRPr="001223B9">
              <w:rPr>
                <w:rFonts w:ascii="Gill Sans MT" w:eastAsiaTheme="minorHAnsi" w:hAnsi="Gill Sans MT" w:cs="DejaVuSerifCondensed"/>
                <w:color w:val="000000"/>
                <w:sz w:val="20"/>
                <w:szCs w:val="20"/>
                <w:lang w:eastAsia="en-US"/>
              </w:rPr>
              <w:t xml:space="preserve"> </w:t>
            </w:r>
            <w:r w:rsidRPr="001223B9">
              <w:rPr>
                <w:rFonts w:ascii="Gill Sans MT" w:eastAsiaTheme="minorHAnsi" w:hAnsi="Gill Sans MT" w:cs="DejaVuSerifCondensed"/>
                <w:color w:val="000000"/>
                <w:sz w:val="20"/>
                <w:szCs w:val="20"/>
                <w:lang w:eastAsia="en-US"/>
              </w:rPr>
              <w:t>que a continuación se sintetiza:</w:t>
            </w:r>
          </w:p>
          <w:p w:rsidR="00743DFC" w:rsidRPr="001223B9" w:rsidRDefault="00743DFC" w:rsidP="008D6896">
            <w:pPr>
              <w:autoSpaceDE w:val="0"/>
              <w:autoSpaceDN w:val="0"/>
              <w:adjustRightInd w:val="0"/>
              <w:rPr>
                <w:rFonts w:ascii="Gill Sans MT" w:hAnsi="Gill Sans MT" w:cs="Arial"/>
                <w:sz w:val="20"/>
                <w:szCs w:val="20"/>
              </w:rPr>
            </w:pPr>
            <w:r w:rsidRPr="001223B9">
              <w:rPr>
                <w:rFonts w:ascii="Gill Sans MT" w:eastAsiaTheme="minorHAnsi" w:hAnsi="Gill Sans MT" w:cs="DejaVuSerifCondensed"/>
                <w:color w:val="000000"/>
                <w:sz w:val="20"/>
                <w:szCs w:val="20"/>
                <w:lang w:eastAsia="en-US"/>
              </w:rPr>
              <w:t xml:space="preserve">Los criterios y </w:t>
            </w:r>
            <w:proofErr w:type="spellStart"/>
            <w:r w:rsidRPr="001223B9">
              <w:rPr>
                <w:rFonts w:ascii="Gill Sans MT" w:eastAsiaTheme="minorHAnsi" w:hAnsi="Gill Sans MT" w:cs="DejaVuSerifCondensed"/>
                <w:color w:val="000000"/>
                <w:sz w:val="20"/>
                <w:szCs w:val="20"/>
                <w:lang w:eastAsia="en-US"/>
              </w:rPr>
              <w:t>subcriterios</w:t>
            </w:r>
            <w:proofErr w:type="spellEnd"/>
            <w:r w:rsidRPr="001223B9">
              <w:rPr>
                <w:rFonts w:ascii="Gill Sans MT" w:eastAsiaTheme="minorHAnsi" w:hAnsi="Gill Sans MT" w:cs="DejaVuSerifCondensed"/>
                <w:color w:val="000000"/>
                <w:sz w:val="20"/>
                <w:szCs w:val="20"/>
                <w:lang w:eastAsia="en-US"/>
              </w:rPr>
              <w:t xml:space="preserve"> de las cuatro categorías que se describen a continuación, son los considerados como</w:t>
            </w:r>
            <w:r w:rsidR="008D6896" w:rsidRPr="001223B9">
              <w:rPr>
                <w:rFonts w:ascii="Gill Sans MT" w:eastAsiaTheme="minorHAnsi" w:hAnsi="Gill Sans MT" w:cs="DejaVuSerifCondensed"/>
                <w:color w:val="000000"/>
                <w:sz w:val="20"/>
                <w:szCs w:val="20"/>
                <w:lang w:eastAsia="en-US"/>
              </w:rPr>
              <w:t xml:space="preserve"> </w:t>
            </w:r>
            <w:r w:rsidRPr="001223B9">
              <w:rPr>
                <w:rFonts w:ascii="Gill Sans MT" w:eastAsiaTheme="minorHAnsi" w:hAnsi="Gill Sans MT" w:cs="DejaVuSerifCondensed"/>
                <w:color w:val="000000"/>
                <w:sz w:val="20"/>
                <w:szCs w:val="20"/>
                <w:lang w:eastAsia="en-US"/>
              </w:rPr>
              <w:t>indispensables por el PNPC, que con los parámetros establecidos por dicho programa se contará con los referentes críticos</w:t>
            </w:r>
            <w:r w:rsidR="008D6896" w:rsidRPr="001223B9">
              <w:rPr>
                <w:rFonts w:ascii="Gill Sans MT" w:eastAsiaTheme="minorHAnsi" w:hAnsi="Gill Sans MT" w:cs="DejaVuSerifCondensed"/>
                <w:color w:val="000000"/>
                <w:sz w:val="20"/>
                <w:szCs w:val="20"/>
                <w:lang w:eastAsia="en-US"/>
              </w:rPr>
              <w:t xml:space="preserve"> </w:t>
            </w:r>
            <w:r w:rsidRPr="001223B9">
              <w:rPr>
                <w:rFonts w:ascii="Gill Sans MT" w:eastAsiaTheme="minorHAnsi" w:hAnsi="Gill Sans MT" w:cs="DejaVuSerifCondensed"/>
                <w:color w:val="000000"/>
                <w:sz w:val="20"/>
                <w:szCs w:val="20"/>
                <w:lang w:eastAsia="en-US"/>
              </w:rPr>
              <w:t>para realizar la autoevaluación de los PE de posgrado. A continuación se presenta una síntesis de los parámetros básicos</w:t>
            </w:r>
            <w:r w:rsidR="008D6896" w:rsidRPr="001223B9">
              <w:rPr>
                <w:rFonts w:ascii="Gill Sans MT" w:eastAsiaTheme="minorHAnsi" w:hAnsi="Gill Sans MT" w:cs="DejaVuSerifCondensed"/>
                <w:color w:val="000000"/>
                <w:sz w:val="20"/>
                <w:szCs w:val="20"/>
                <w:lang w:eastAsia="en-US"/>
              </w:rPr>
              <w:t xml:space="preserve"> </w:t>
            </w:r>
            <w:r w:rsidRPr="001223B9">
              <w:rPr>
                <w:rFonts w:ascii="Gill Sans MT" w:eastAsiaTheme="minorHAnsi" w:hAnsi="Gill Sans MT" w:cs="DejaVuSerifCondensed"/>
                <w:color w:val="000000"/>
                <w:sz w:val="20"/>
                <w:szCs w:val="20"/>
                <w:lang w:eastAsia="en-US"/>
              </w:rPr>
              <w:t xml:space="preserve">para el ingreso al PNPC, para ver de manera completa este punto consulte los </w:t>
            </w:r>
            <w:r w:rsidRPr="001223B9">
              <w:rPr>
                <w:rFonts w:ascii="Gill Sans MT" w:eastAsiaTheme="minorHAnsi" w:hAnsi="Gill Sans MT" w:cs="DejaVuSerifCondensed-Bold"/>
                <w:b/>
                <w:bCs/>
                <w:color w:val="000000"/>
                <w:sz w:val="20"/>
                <w:szCs w:val="20"/>
                <w:lang w:eastAsia="en-US"/>
              </w:rPr>
              <w:t xml:space="preserve">Anexos </w:t>
            </w:r>
            <w:r w:rsidRPr="001223B9">
              <w:rPr>
                <w:rFonts w:ascii="Gill Sans MT" w:eastAsiaTheme="minorHAnsi" w:hAnsi="Gill Sans MT" w:cs="DejaVuSerifCondensed"/>
                <w:color w:val="0C3361"/>
                <w:sz w:val="20"/>
                <w:szCs w:val="20"/>
                <w:lang w:eastAsia="en-US"/>
              </w:rPr>
              <w:t xml:space="preserve">IV A </w:t>
            </w:r>
            <w:r w:rsidRPr="001223B9">
              <w:rPr>
                <w:rFonts w:ascii="Gill Sans MT" w:eastAsiaTheme="minorHAnsi" w:hAnsi="Gill Sans MT" w:cs="DejaVuSerifCondensed"/>
                <w:color w:val="000000"/>
                <w:sz w:val="20"/>
                <w:szCs w:val="20"/>
                <w:lang w:eastAsia="en-US"/>
              </w:rPr>
              <w:t xml:space="preserve">y </w:t>
            </w:r>
            <w:r w:rsidRPr="001223B9">
              <w:rPr>
                <w:rFonts w:ascii="Gill Sans MT" w:eastAsiaTheme="minorHAnsi" w:hAnsi="Gill Sans MT" w:cs="DejaVuSerifCondensed"/>
                <w:color w:val="0C3361"/>
                <w:sz w:val="20"/>
                <w:szCs w:val="20"/>
                <w:lang w:eastAsia="en-US"/>
              </w:rPr>
              <w:t>IV B</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743DFC" w:rsidRPr="001223B9" w:rsidTr="008D6896">
        <w:tc>
          <w:tcPr>
            <w:tcW w:w="6646" w:type="dxa"/>
          </w:tcPr>
          <w:p w:rsidR="008D6896" w:rsidRPr="001223B9" w:rsidRDefault="008D6896" w:rsidP="008D6896">
            <w:pPr>
              <w:pStyle w:val="Prrafodelista"/>
              <w:numPr>
                <w:ilvl w:val="0"/>
                <w:numId w:val="15"/>
              </w:numPr>
              <w:autoSpaceDE w:val="0"/>
              <w:autoSpaceDN w:val="0"/>
              <w:adjustRightInd w:val="0"/>
              <w:rPr>
                <w:rFonts w:ascii="Gill Sans MT" w:eastAsiaTheme="minorHAnsi" w:hAnsi="Gill Sans MT" w:cs="DejaVuSerifCondensed-Bold"/>
                <w:b/>
                <w:bCs/>
                <w:sz w:val="20"/>
                <w:szCs w:val="20"/>
                <w:lang w:eastAsia="en-US"/>
              </w:rPr>
            </w:pPr>
            <w:r w:rsidRPr="001223B9">
              <w:rPr>
                <w:rFonts w:ascii="Gill Sans MT" w:eastAsiaTheme="minorHAnsi" w:hAnsi="Gill Sans MT" w:cs="DejaVuSerifCondensed-Bold"/>
                <w:b/>
                <w:bCs/>
                <w:sz w:val="20"/>
                <w:szCs w:val="20"/>
                <w:lang w:eastAsia="en-US"/>
              </w:rPr>
              <w:lastRenderedPageBreak/>
              <w:t>I. Estructura y personal Académico</w:t>
            </w:r>
          </w:p>
          <w:p w:rsidR="008D6896" w:rsidRPr="001223B9" w:rsidRDefault="008D6896" w:rsidP="008D6896">
            <w:pPr>
              <w:autoSpaceDE w:val="0"/>
              <w:autoSpaceDN w:val="0"/>
              <w:adjustRightInd w:val="0"/>
              <w:ind w:left="1416"/>
              <w:rPr>
                <w:rFonts w:ascii="Gill Sans MT" w:eastAsiaTheme="minorHAnsi" w:hAnsi="Gill Sans MT" w:cs="DejaVuSerifCondensed"/>
                <w:sz w:val="20"/>
                <w:szCs w:val="20"/>
                <w:lang w:eastAsia="en-US"/>
              </w:rPr>
            </w:pPr>
            <w:r w:rsidRPr="001223B9">
              <w:rPr>
                <w:rFonts w:ascii="Gill Sans MT" w:eastAsiaTheme="minorHAnsi" w:hAnsi="Gill Sans MT" w:cs="DejaVuSerifCondensed"/>
                <w:sz w:val="20"/>
                <w:szCs w:val="20"/>
                <w:lang w:eastAsia="en-US"/>
              </w:rPr>
              <w:t>A. Núcleo académico básico (existencia de un núcleo académico básico de PTC, perfil del núcleo académico, características del núcleo académico básico, apertura y capacidad de interlocución en la integración del núcleo académico básico, nivel mínimo de habilitación y pertenencia al SNI de los PTC de acuerdo al nivel del PNPC que buscan alcanzar los PE.</w:t>
            </w:r>
          </w:p>
          <w:p w:rsidR="00743DFC" w:rsidRPr="001223B9" w:rsidRDefault="008D6896" w:rsidP="008D6896">
            <w:pPr>
              <w:autoSpaceDE w:val="0"/>
              <w:autoSpaceDN w:val="0"/>
              <w:adjustRightInd w:val="0"/>
              <w:ind w:left="1416"/>
              <w:rPr>
                <w:rFonts w:ascii="Gill Sans MT" w:eastAsiaTheme="minorHAnsi" w:hAnsi="Gill Sans MT" w:cs="DejaVuSerifCondensed"/>
                <w:sz w:val="20"/>
                <w:szCs w:val="20"/>
                <w:lang w:eastAsia="en-US"/>
              </w:rPr>
            </w:pPr>
            <w:r w:rsidRPr="001223B9">
              <w:rPr>
                <w:rFonts w:ascii="Gill Sans MT" w:eastAsiaTheme="minorHAnsi" w:hAnsi="Gill Sans MT" w:cs="DejaVuSerifCondensed"/>
                <w:sz w:val="20"/>
                <w:szCs w:val="20"/>
                <w:lang w:eastAsia="en-US"/>
              </w:rPr>
              <w:t>B. Líneas de generación y/o aplicación del conocimiento (congruencia de la LGAC con: el perfil de egreso, el plan de estudios, las opciones terminales del programa, la productividad académica del programa, la orientación y nivel del  programa y al menos 3 PTC por LGAC).</w:t>
            </w:r>
          </w:p>
          <w:p w:rsidR="008D6896" w:rsidRPr="001223B9" w:rsidRDefault="008D6896" w:rsidP="008D6896">
            <w:pPr>
              <w:pStyle w:val="Prrafodelista"/>
              <w:numPr>
                <w:ilvl w:val="0"/>
                <w:numId w:val="15"/>
              </w:numPr>
              <w:autoSpaceDE w:val="0"/>
              <w:autoSpaceDN w:val="0"/>
              <w:adjustRightInd w:val="0"/>
              <w:rPr>
                <w:rFonts w:ascii="Gill Sans MT" w:eastAsiaTheme="minorHAnsi" w:hAnsi="Gill Sans MT" w:cs="DejaVuSerifCondensed-Bold"/>
                <w:b/>
                <w:bCs/>
                <w:sz w:val="20"/>
                <w:szCs w:val="20"/>
                <w:lang w:eastAsia="en-US"/>
              </w:rPr>
            </w:pPr>
            <w:r w:rsidRPr="001223B9">
              <w:rPr>
                <w:rFonts w:ascii="Gill Sans MT" w:eastAsiaTheme="minorHAnsi" w:hAnsi="Gill Sans MT" w:cs="DejaVuSerifCondensed-Bold"/>
                <w:b/>
                <w:bCs/>
                <w:sz w:val="20"/>
                <w:szCs w:val="20"/>
                <w:lang w:eastAsia="en-US"/>
              </w:rPr>
              <w:t>II. Estudiantes</w:t>
            </w:r>
          </w:p>
          <w:p w:rsidR="008D6896" w:rsidRPr="001223B9" w:rsidRDefault="008D6896" w:rsidP="008D6896">
            <w:pPr>
              <w:autoSpaceDE w:val="0"/>
              <w:autoSpaceDN w:val="0"/>
              <w:adjustRightInd w:val="0"/>
              <w:ind w:left="1416"/>
              <w:rPr>
                <w:rFonts w:ascii="Gill Sans MT" w:eastAsiaTheme="minorHAnsi" w:hAnsi="Gill Sans MT" w:cs="DejaVuSerifCondensed"/>
                <w:sz w:val="20"/>
                <w:szCs w:val="20"/>
                <w:lang w:eastAsia="en-US"/>
              </w:rPr>
            </w:pPr>
            <w:r w:rsidRPr="001223B9">
              <w:rPr>
                <w:rFonts w:ascii="Gill Sans MT" w:eastAsiaTheme="minorHAnsi" w:hAnsi="Gill Sans MT" w:cs="DejaVuSerifCondensed"/>
                <w:sz w:val="20"/>
                <w:szCs w:val="20"/>
                <w:lang w:eastAsia="en-US"/>
              </w:rPr>
              <w:t>A. Ingreso de estudiantes (el procedimiento de selección debe ser riguroso y objetivo, que el tiempo de dedicación de los estudiantes sea acorde al esfuerzo requerido para alcanzar los objetivos del Programa).</w:t>
            </w:r>
          </w:p>
          <w:p w:rsidR="008D6896" w:rsidRPr="001223B9" w:rsidRDefault="008D6896" w:rsidP="008D6896">
            <w:pPr>
              <w:autoSpaceDE w:val="0"/>
              <w:autoSpaceDN w:val="0"/>
              <w:adjustRightInd w:val="0"/>
              <w:ind w:left="1416"/>
              <w:rPr>
                <w:rFonts w:ascii="Gill Sans MT" w:eastAsiaTheme="minorHAnsi" w:hAnsi="Gill Sans MT" w:cs="DejaVuSerifCondensed"/>
                <w:sz w:val="20"/>
                <w:szCs w:val="20"/>
                <w:lang w:eastAsia="en-US"/>
              </w:rPr>
            </w:pPr>
            <w:r w:rsidRPr="001223B9">
              <w:rPr>
                <w:rFonts w:ascii="Gill Sans MT" w:eastAsiaTheme="minorHAnsi" w:hAnsi="Gill Sans MT" w:cs="DejaVuSerifCondensed"/>
                <w:sz w:val="20"/>
                <w:szCs w:val="20"/>
                <w:lang w:eastAsia="en-US"/>
              </w:rPr>
              <w:t>B. Tutorías (suficiencia de la planta académica, proporción de estudiantes por PTC para impartición de tutorías, proporción de estudiantes por director de proyecto terminal o tesis).</w:t>
            </w:r>
          </w:p>
          <w:p w:rsidR="008D6896" w:rsidRPr="001223B9" w:rsidRDefault="008D6896" w:rsidP="008D6896">
            <w:pPr>
              <w:pStyle w:val="Prrafodelista"/>
              <w:numPr>
                <w:ilvl w:val="0"/>
                <w:numId w:val="15"/>
              </w:numPr>
              <w:autoSpaceDE w:val="0"/>
              <w:autoSpaceDN w:val="0"/>
              <w:adjustRightInd w:val="0"/>
              <w:rPr>
                <w:rFonts w:ascii="Gill Sans MT" w:eastAsiaTheme="minorHAnsi" w:hAnsi="Gill Sans MT" w:cs="DejaVuSerifCondensed-Bold"/>
                <w:b/>
                <w:bCs/>
                <w:sz w:val="20"/>
                <w:szCs w:val="20"/>
                <w:lang w:eastAsia="en-US"/>
              </w:rPr>
            </w:pPr>
            <w:r w:rsidRPr="001223B9">
              <w:rPr>
                <w:rFonts w:ascii="Gill Sans MT" w:eastAsiaTheme="minorHAnsi" w:hAnsi="Gill Sans MT" w:cs="DejaVuSerifCondensed-Bold"/>
                <w:b/>
                <w:bCs/>
                <w:sz w:val="20"/>
                <w:szCs w:val="20"/>
                <w:lang w:eastAsia="en-US"/>
              </w:rPr>
              <w:t>III. Resultados y vinculación</w:t>
            </w:r>
          </w:p>
          <w:p w:rsidR="008D6896" w:rsidRPr="001223B9" w:rsidRDefault="008D6896" w:rsidP="008D6896">
            <w:pPr>
              <w:autoSpaceDE w:val="0"/>
              <w:autoSpaceDN w:val="0"/>
              <w:adjustRightInd w:val="0"/>
              <w:ind w:left="1416"/>
              <w:rPr>
                <w:rFonts w:ascii="Gill Sans MT" w:eastAsiaTheme="minorHAnsi" w:hAnsi="Gill Sans MT" w:cs="DejaVuSerifCondensed"/>
                <w:sz w:val="20"/>
                <w:szCs w:val="20"/>
                <w:lang w:eastAsia="en-US"/>
              </w:rPr>
            </w:pPr>
            <w:r w:rsidRPr="001223B9">
              <w:rPr>
                <w:rFonts w:ascii="Gill Sans MT" w:eastAsiaTheme="minorHAnsi" w:hAnsi="Gill Sans MT" w:cs="DejaVuSerifCondensed"/>
                <w:sz w:val="20"/>
                <w:szCs w:val="20"/>
                <w:lang w:eastAsia="en-US"/>
              </w:rPr>
              <w:t>A. Alcance, cobertura, pertinencia y evolución del programa (evidencias de que la tendencia de los resultados del</w:t>
            </w:r>
          </w:p>
          <w:p w:rsidR="008D6896" w:rsidRPr="001223B9" w:rsidRDefault="008D6896" w:rsidP="008D6896">
            <w:pPr>
              <w:autoSpaceDE w:val="0"/>
              <w:autoSpaceDN w:val="0"/>
              <w:adjustRightInd w:val="0"/>
              <w:ind w:left="1416"/>
              <w:rPr>
                <w:rFonts w:ascii="Gill Sans MT" w:eastAsiaTheme="minorHAnsi" w:hAnsi="Gill Sans MT" w:cs="DejaVuSerifCondensed"/>
                <w:sz w:val="20"/>
                <w:szCs w:val="20"/>
                <w:lang w:eastAsia="en-US"/>
              </w:rPr>
            </w:pPr>
            <w:r w:rsidRPr="001223B9">
              <w:rPr>
                <w:rFonts w:ascii="Gill Sans MT" w:eastAsiaTheme="minorHAnsi" w:hAnsi="Gill Sans MT" w:cs="DejaVuSerifCondensed"/>
                <w:sz w:val="20"/>
                <w:szCs w:val="20"/>
                <w:lang w:eastAsia="en-US"/>
              </w:rPr>
              <w:t>programa contribuye a la atención de las necesidades que dieron origen al posgrado, la cobertura y evolución del</w:t>
            </w:r>
          </w:p>
          <w:p w:rsidR="008D6896" w:rsidRPr="001223B9" w:rsidRDefault="008D6896" w:rsidP="008D6896">
            <w:pPr>
              <w:autoSpaceDE w:val="0"/>
              <w:autoSpaceDN w:val="0"/>
              <w:adjustRightInd w:val="0"/>
              <w:ind w:left="1416"/>
              <w:rPr>
                <w:rFonts w:ascii="Gill Sans MT" w:eastAsiaTheme="minorHAnsi" w:hAnsi="Gill Sans MT" w:cs="DejaVuSerifCondensed"/>
                <w:sz w:val="20"/>
                <w:szCs w:val="20"/>
                <w:lang w:eastAsia="en-US"/>
              </w:rPr>
            </w:pPr>
            <w:r w:rsidRPr="001223B9">
              <w:rPr>
                <w:rFonts w:ascii="Gill Sans MT" w:eastAsiaTheme="minorHAnsi" w:hAnsi="Gill Sans MT" w:cs="DejaVuSerifCondensed"/>
                <w:sz w:val="20"/>
                <w:szCs w:val="20"/>
                <w:lang w:eastAsia="en-US"/>
              </w:rPr>
              <w:t>programa deben ser adecuadas al potencial del mismo, los egresados se desempeñan en una actividad afín a su</w:t>
            </w:r>
          </w:p>
          <w:p w:rsidR="008D6896" w:rsidRPr="001223B9" w:rsidRDefault="008D6896" w:rsidP="008D6896">
            <w:pPr>
              <w:autoSpaceDE w:val="0"/>
              <w:autoSpaceDN w:val="0"/>
              <w:adjustRightInd w:val="0"/>
              <w:ind w:left="1416"/>
              <w:rPr>
                <w:rFonts w:ascii="Gill Sans MT" w:eastAsiaTheme="minorHAnsi" w:hAnsi="Gill Sans MT" w:cs="DejaVuSerifCondensed"/>
                <w:sz w:val="20"/>
                <w:szCs w:val="20"/>
                <w:lang w:eastAsia="en-US"/>
              </w:rPr>
            </w:pPr>
            <w:r w:rsidRPr="001223B9">
              <w:rPr>
                <w:rFonts w:ascii="Gill Sans MT" w:eastAsiaTheme="minorHAnsi" w:hAnsi="Gill Sans MT" w:cs="DejaVuSerifCondensed"/>
                <w:sz w:val="20"/>
                <w:szCs w:val="20"/>
                <w:lang w:eastAsia="en-US"/>
              </w:rPr>
              <w:t>formación y cuenta con el reconocimiento académico: SNI, Academias, sociedades, entre otros, y/o profesional:</w:t>
            </w:r>
          </w:p>
          <w:p w:rsidR="008D6896" w:rsidRPr="001223B9" w:rsidRDefault="008D6896" w:rsidP="008D6896">
            <w:pPr>
              <w:autoSpaceDE w:val="0"/>
              <w:autoSpaceDN w:val="0"/>
              <w:adjustRightInd w:val="0"/>
              <w:ind w:left="1416"/>
              <w:rPr>
                <w:rFonts w:ascii="Gill Sans MT" w:eastAsiaTheme="minorHAnsi" w:hAnsi="Gill Sans MT" w:cs="DejaVuSerifCondensed"/>
                <w:sz w:val="20"/>
                <w:szCs w:val="20"/>
                <w:lang w:eastAsia="en-US"/>
              </w:rPr>
            </w:pPr>
            <w:proofErr w:type="gramStart"/>
            <w:r w:rsidRPr="001223B9">
              <w:rPr>
                <w:rFonts w:ascii="Gill Sans MT" w:eastAsiaTheme="minorHAnsi" w:hAnsi="Gill Sans MT" w:cs="DejaVuSerifCondensed"/>
                <w:sz w:val="20"/>
                <w:szCs w:val="20"/>
                <w:lang w:eastAsia="en-US"/>
              </w:rPr>
              <w:t>certificación</w:t>
            </w:r>
            <w:proofErr w:type="gramEnd"/>
            <w:r w:rsidRPr="001223B9">
              <w:rPr>
                <w:rFonts w:ascii="Gill Sans MT" w:eastAsiaTheme="minorHAnsi" w:hAnsi="Gill Sans MT" w:cs="DejaVuSerifCondensed"/>
                <w:sz w:val="20"/>
                <w:szCs w:val="20"/>
                <w:lang w:eastAsia="en-US"/>
              </w:rPr>
              <w:t>, colegios profesionales, entre otros, de acuerdo con la orientación del programa).</w:t>
            </w:r>
          </w:p>
          <w:p w:rsidR="008D6896" w:rsidRPr="001223B9" w:rsidRDefault="008D6896" w:rsidP="008D6896">
            <w:pPr>
              <w:autoSpaceDE w:val="0"/>
              <w:autoSpaceDN w:val="0"/>
              <w:adjustRightInd w:val="0"/>
              <w:ind w:left="1416"/>
              <w:rPr>
                <w:rFonts w:ascii="Gill Sans MT" w:eastAsiaTheme="minorHAnsi" w:hAnsi="Gill Sans MT" w:cs="DejaVuSerifCondensed"/>
                <w:sz w:val="20"/>
                <w:szCs w:val="20"/>
                <w:lang w:eastAsia="en-US"/>
              </w:rPr>
            </w:pPr>
            <w:r w:rsidRPr="001223B9">
              <w:rPr>
                <w:rFonts w:ascii="Gill Sans MT" w:eastAsiaTheme="minorHAnsi" w:hAnsi="Gill Sans MT" w:cs="DejaVuSerifCondensed"/>
                <w:sz w:val="20"/>
                <w:szCs w:val="20"/>
                <w:lang w:eastAsia="en-US"/>
              </w:rPr>
              <w:t>B. Eficiencia terminal (considerar sólo a los estudiantes de tiempo completo graduados en las últimas cinco generaciones, parámetros para calcularla según el nivel y orientación del programa y tasa de graduación por cohorte generacional por nivel y orientación del programa).</w:t>
            </w:r>
          </w:p>
          <w:p w:rsidR="008D6896" w:rsidRPr="001223B9" w:rsidRDefault="008D6896" w:rsidP="008D6896">
            <w:pPr>
              <w:autoSpaceDE w:val="0"/>
              <w:autoSpaceDN w:val="0"/>
              <w:adjustRightInd w:val="0"/>
              <w:ind w:left="1416"/>
              <w:rPr>
                <w:rFonts w:ascii="Gill Sans MT" w:eastAsiaTheme="minorHAnsi" w:hAnsi="Gill Sans MT" w:cs="DejaVuSerifCondensed"/>
                <w:sz w:val="20"/>
                <w:szCs w:val="20"/>
                <w:lang w:eastAsia="en-US"/>
              </w:rPr>
            </w:pPr>
            <w:r w:rsidRPr="001223B9">
              <w:rPr>
                <w:rFonts w:ascii="Gill Sans MT" w:eastAsiaTheme="minorHAnsi" w:hAnsi="Gill Sans MT" w:cs="DejaVuSerifCondensed"/>
                <w:sz w:val="20"/>
                <w:szCs w:val="20"/>
                <w:lang w:eastAsia="en-US"/>
              </w:rPr>
              <w:t>C. Productividad académica (productividad de estudiante y productividad del núcleo académico básico).</w:t>
            </w:r>
          </w:p>
          <w:p w:rsidR="008D6896" w:rsidRPr="001223B9" w:rsidRDefault="008D6896" w:rsidP="008D6896">
            <w:pPr>
              <w:autoSpaceDE w:val="0"/>
              <w:autoSpaceDN w:val="0"/>
              <w:adjustRightInd w:val="0"/>
              <w:ind w:left="1416"/>
              <w:rPr>
                <w:rFonts w:ascii="Gill Sans MT" w:eastAsiaTheme="minorHAnsi" w:hAnsi="Gill Sans MT" w:cs="DejaVuSerifCondensed"/>
                <w:sz w:val="20"/>
                <w:szCs w:val="20"/>
                <w:lang w:eastAsia="en-US"/>
              </w:rPr>
            </w:pPr>
            <w:r w:rsidRPr="001223B9">
              <w:rPr>
                <w:rFonts w:ascii="Gill Sans MT" w:eastAsiaTheme="minorHAnsi" w:hAnsi="Gill Sans MT" w:cs="DejaVuSerifCondensed"/>
                <w:sz w:val="20"/>
                <w:szCs w:val="20"/>
                <w:lang w:eastAsia="en-US"/>
              </w:rPr>
              <w:t>D. Vinculación (existencia e impacto de las acciones de vinculación con los sectores de la sociedad; evidencia de los</w:t>
            </w:r>
          </w:p>
          <w:p w:rsidR="008D6896" w:rsidRPr="001223B9" w:rsidRDefault="008D6896" w:rsidP="008D6896">
            <w:pPr>
              <w:autoSpaceDE w:val="0"/>
              <w:autoSpaceDN w:val="0"/>
              <w:adjustRightInd w:val="0"/>
              <w:ind w:left="1416"/>
              <w:rPr>
                <w:rFonts w:ascii="Gill Sans MT" w:hAnsi="Gill Sans MT" w:cs="Arial"/>
                <w:sz w:val="20"/>
                <w:szCs w:val="20"/>
              </w:rPr>
            </w:pPr>
            <w:proofErr w:type="gramStart"/>
            <w:r w:rsidRPr="001223B9">
              <w:rPr>
                <w:rFonts w:ascii="Gill Sans MT" w:eastAsiaTheme="minorHAnsi" w:hAnsi="Gill Sans MT" w:cs="DejaVuSerifCondensed"/>
                <w:sz w:val="20"/>
                <w:szCs w:val="20"/>
                <w:lang w:eastAsia="en-US"/>
              </w:rPr>
              <w:t>beneficios</w:t>
            </w:r>
            <w:proofErr w:type="gramEnd"/>
            <w:r w:rsidRPr="001223B9">
              <w:rPr>
                <w:rFonts w:ascii="Gill Sans MT" w:eastAsiaTheme="minorHAnsi" w:hAnsi="Gill Sans MT" w:cs="DejaVuSerifCondensed"/>
                <w:sz w:val="20"/>
                <w:szCs w:val="20"/>
                <w:lang w:eastAsia="en-US"/>
              </w:rPr>
              <w:t xml:space="preserve"> de las acciones de vinculación con sectores de la sociedad; congruencia e impacto de los productos derivados de las acciones de vinculación con los sectores de la sociedad de acuerdo con la vertiente, orientación y nivel de programa; congruencia de los resultados del intercambio académico con la vertiente, nivel y orientación del programa).</w:t>
            </w:r>
          </w:p>
        </w:tc>
        <w:tc>
          <w:tcPr>
            <w:tcW w:w="719" w:type="dxa"/>
          </w:tcPr>
          <w:p w:rsidR="00743DFC" w:rsidRPr="001223B9" w:rsidRDefault="00743DFC" w:rsidP="008D6896">
            <w:pPr>
              <w:jc w:val="both"/>
              <w:rPr>
                <w:rFonts w:ascii="Gill Sans MT" w:hAnsi="Gill Sans MT" w:cs="Arial"/>
                <w:sz w:val="20"/>
                <w:szCs w:val="20"/>
              </w:rPr>
            </w:pPr>
          </w:p>
        </w:tc>
        <w:tc>
          <w:tcPr>
            <w:tcW w:w="540" w:type="dxa"/>
          </w:tcPr>
          <w:p w:rsidR="00743DFC" w:rsidRPr="001223B9" w:rsidRDefault="00743DFC" w:rsidP="008D6896">
            <w:pPr>
              <w:jc w:val="both"/>
              <w:rPr>
                <w:rFonts w:ascii="Gill Sans MT" w:hAnsi="Gill Sans MT" w:cs="Arial"/>
                <w:sz w:val="20"/>
                <w:szCs w:val="20"/>
              </w:rPr>
            </w:pPr>
          </w:p>
        </w:tc>
        <w:tc>
          <w:tcPr>
            <w:tcW w:w="1149" w:type="dxa"/>
          </w:tcPr>
          <w:p w:rsidR="00743DFC" w:rsidRPr="001223B9" w:rsidRDefault="00743DFC" w:rsidP="008D6896">
            <w:pPr>
              <w:jc w:val="both"/>
              <w:rPr>
                <w:rFonts w:ascii="Gill Sans MT" w:hAnsi="Gill Sans MT" w:cs="Arial"/>
                <w:sz w:val="20"/>
                <w:szCs w:val="20"/>
              </w:rPr>
            </w:pPr>
          </w:p>
        </w:tc>
      </w:tr>
      <w:tr w:rsidR="00812443" w:rsidRPr="001223B9" w:rsidTr="008D6896">
        <w:tc>
          <w:tcPr>
            <w:tcW w:w="6646" w:type="dxa"/>
          </w:tcPr>
          <w:p w:rsidR="00812443" w:rsidRPr="00CD4513" w:rsidRDefault="00812443" w:rsidP="00CD4513">
            <w:pPr>
              <w:pStyle w:val="Prrafodelista"/>
              <w:numPr>
                <w:ilvl w:val="1"/>
                <w:numId w:val="14"/>
              </w:numPr>
              <w:jc w:val="both"/>
              <w:rPr>
                <w:rFonts w:ascii="Gill Sans MT" w:hAnsi="Gill Sans MT" w:cs="Arial"/>
                <w:sz w:val="20"/>
                <w:szCs w:val="20"/>
              </w:rPr>
            </w:pPr>
            <w:r w:rsidRPr="00CD4513">
              <w:rPr>
                <w:rFonts w:ascii="Gill Sans MT" w:hAnsi="Gill Sans MT" w:cs="Arial"/>
                <w:sz w:val="20"/>
                <w:szCs w:val="20"/>
              </w:rPr>
              <w:lastRenderedPageBreak/>
              <w:t>Tabla resumen de posgrados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281"/>
        </w:trPr>
        <w:tc>
          <w:tcPr>
            <w:tcW w:w="6646" w:type="dxa"/>
          </w:tcPr>
          <w:p w:rsidR="00812443" w:rsidRPr="001223B9" w:rsidRDefault="00812443" w:rsidP="008D6896">
            <w:pPr>
              <w:numPr>
                <w:ilvl w:val="0"/>
                <w:numId w:val="14"/>
              </w:numPr>
              <w:jc w:val="both"/>
              <w:rPr>
                <w:rFonts w:ascii="Gill Sans MT" w:hAnsi="Gill Sans MT" w:cs="Arial"/>
                <w:sz w:val="20"/>
                <w:szCs w:val="20"/>
              </w:rPr>
            </w:pPr>
            <w:r w:rsidRPr="001223B9">
              <w:rPr>
                <w:rFonts w:ascii="Gill Sans MT" w:hAnsi="Gill Sans MT" w:cs="Arial"/>
                <w:sz w:val="20"/>
                <w:szCs w:val="20"/>
              </w:rPr>
              <w:t xml:space="preserve">Análisis de la innovación educativa </w:t>
            </w:r>
          </w:p>
          <w:p w:rsidR="008D6896" w:rsidRPr="001223B9" w:rsidRDefault="008D6896" w:rsidP="008D6896">
            <w:pPr>
              <w:autoSpaceDE w:val="0"/>
              <w:autoSpaceDN w:val="0"/>
              <w:adjustRightInd w:val="0"/>
              <w:rPr>
                <w:rFonts w:ascii="Gill Sans MT" w:eastAsiaTheme="minorHAnsi" w:hAnsi="Gill Sans MT" w:cs="DejaVuSerifCondensed"/>
                <w:sz w:val="20"/>
                <w:szCs w:val="20"/>
                <w:lang w:eastAsia="en-US"/>
              </w:rPr>
            </w:pPr>
            <w:r w:rsidRPr="001223B9">
              <w:rPr>
                <w:rFonts w:ascii="Gill Sans MT" w:eastAsiaTheme="minorHAnsi" w:hAnsi="Gill Sans MT" w:cs="DejaVuSerifCondensed"/>
                <w:sz w:val="20"/>
                <w:szCs w:val="20"/>
                <w:lang w:eastAsia="en-US"/>
              </w:rPr>
              <w:t>La innovación educativa son los cambios estratégicos que se implementan para mejorar la capacidad y competitividad académicas, así como de la gestión. Desde los inicios del PIFI se ha apoyado la innovación educativa, por lo cual resulta importante analizar los resultados que se han alcanzado con ello.</w:t>
            </w:r>
          </w:p>
          <w:p w:rsidR="008D6896" w:rsidRPr="001223B9" w:rsidRDefault="008D6896" w:rsidP="008D6896">
            <w:pPr>
              <w:autoSpaceDE w:val="0"/>
              <w:autoSpaceDN w:val="0"/>
              <w:adjustRightInd w:val="0"/>
              <w:rPr>
                <w:rFonts w:ascii="Gill Sans MT" w:hAnsi="Gill Sans MT" w:cs="Arial"/>
                <w:sz w:val="20"/>
                <w:szCs w:val="20"/>
              </w:rPr>
            </w:pPr>
            <w:r w:rsidRPr="001223B9">
              <w:rPr>
                <w:rFonts w:ascii="Gill Sans MT" w:eastAsiaTheme="minorHAnsi" w:hAnsi="Gill Sans MT" w:cs="DejaVuSerifCondensed"/>
                <w:sz w:val="20"/>
                <w:szCs w:val="20"/>
                <w:lang w:eastAsia="en-US"/>
              </w:rPr>
              <w:t>Analizar las acciones de innovación educativa implementadas por la DES, así como su incidencia en la mejora de la calidad de los PE, en los resultados del desempeño de los estudiantes y en general el funcionamiento académico, que muestre el impacto en cuanto a:</w:t>
            </w:r>
          </w:p>
          <w:p w:rsidR="00812443" w:rsidRPr="001223B9" w:rsidRDefault="00812443" w:rsidP="007144ED">
            <w:pPr>
              <w:numPr>
                <w:ilvl w:val="1"/>
                <w:numId w:val="1"/>
              </w:numPr>
              <w:jc w:val="both"/>
              <w:rPr>
                <w:rFonts w:ascii="Gill Sans MT" w:hAnsi="Gill Sans MT" w:cs="Arial"/>
                <w:sz w:val="20"/>
                <w:szCs w:val="20"/>
              </w:rPr>
            </w:pPr>
            <w:r w:rsidRPr="001223B9">
              <w:rPr>
                <w:rFonts w:ascii="Gill Sans MT" w:hAnsi="Gill Sans MT" w:cs="Arial"/>
                <w:sz w:val="20"/>
                <w:szCs w:val="20"/>
              </w:rPr>
              <w:t>Incorporación de enfoque y modelos educativos centrados en el aprendizajes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237"/>
        </w:trPr>
        <w:tc>
          <w:tcPr>
            <w:tcW w:w="6646" w:type="dxa"/>
          </w:tcPr>
          <w:p w:rsidR="00812443" w:rsidRPr="001223B9" w:rsidRDefault="00812443" w:rsidP="007144ED">
            <w:pPr>
              <w:numPr>
                <w:ilvl w:val="1"/>
                <w:numId w:val="19"/>
              </w:numPr>
              <w:jc w:val="both"/>
              <w:rPr>
                <w:rFonts w:ascii="Gill Sans MT" w:hAnsi="Gill Sans MT" w:cs="Arial"/>
                <w:sz w:val="20"/>
                <w:szCs w:val="20"/>
              </w:rPr>
            </w:pPr>
            <w:r w:rsidRPr="001223B9">
              <w:rPr>
                <w:rFonts w:ascii="Gill Sans MT" w:hAnsi="Gill Sans MT" w:cs="Arial"/>
                <w:sz w:val="20"/>
                <w:szCs w:val="20"/>
              </w:rPr>
              <w:t>Actualización y flexibilidad curricular</w:t>
            </w:r>
          </w:p>
          <w:p w:rsidR="008D6896" w:rsidRPr="001223B9" w:rsidRDefault="008D6896" w:rsidP="007144ED">
            <w:pPr>
              <w:numPr>
                <w:ilvl w:val="1"/>
                <w:numId w:val="19"/>
              </w:numPr>
              <w:jc w:val="both"/>
              <w:rPr>
                <w:rFonts w:ascii="Gill Sans MT" w:hAnsi="Gill Sans MT" w:cs="Arial"/>
                <w:sz w:val="20"/>
                <w:szCs w:val="20"/>
              </w:rPr>
            </w:pPr>
            <w:r w:rsidRPr="001223B9">
              <w:rPr>
                <w:rFonts w:ascii="Gill Sans MT" w:eastAsiaTheme="minorHAnsi" w:hAnsi="Gill Sans MT" w:cs="DejaVuSerifCondensed"/>
                <w:sz w:val="20"/>
                <w:szCs w:val="20"/>
                <w:lang w:eastAsia="en-US"/>
              </w:rPr>
              <w:t>Fortalecimiento del aprendizaje de los estudiantes.</w:t>
            </w:r>
          </w:p>
          <w:p w:rsidR="00812443" w:rsidRPr="001223B9" w:rsidRDefault="00812443" w:rsidP="007144ED">
            <w:pPr>
              <w:numPr>
                <w:ilvl w:val="1"/>
                <w:numId w:val="19"/>
              </w:numPr>
              <w:jc w:val="both"/>
              <w:rPr>
                <w:rFonts w:ascii="Gill Sans MT" w:hAnsi="Gill Sans MT" w:cs="Arial"/>
                <w:sz w:val="20"/>
                <w:szCs w:val="20"/>
              </w:rPr>
            </w:pPr>
            <w:r w:rsidRPr="001223B9">
              <w:rPr>
                <w:rFonts w:ascii="Gill Sans MT" w:hAnsi="Gill Sans MT" w:cs="Arial"/>
                <w:sz w:val="20"/>
                <w:szCs w:val="20"/>
              </w:rPr>
              <w:t>Planes y programas educativos basados en competencias</w:t>
            </w:r>
          </w:p>
          <w:p w:rsidR="00812443" w:rsidRPr="001223B9" w:rsidRDefault="00812443" w:rsidP="007144ED">
            <w:pPr>
              <w:numPr>
                <w:ilvl w:val="1"/>
                <w:numId w:val="19"/>
              </w:numPr>
              <w:jc w:val="both"/>
              <w:rPr>
                <w:rFonts w:ascii="Gill Sans MT" w:hAnsi="Gill Sans MT" w:cs="Arial"/>
                <w:sz w:val="20"/>
                <w:szCs w:val="20"/>
              </w:rPr>
            </w:pPr>
            <w:r w:rsidRPr="001223B9">
              <w:rPr>
                <w:rFonts w:ascii="Gill Sans MT" w:hAnsi="Gill Sans MT" w:cs="Arial"/>
                <w:sz w:val="20"/>
                <w:szCs w:val="20"/>
              </w:rPr>
              <w:t>Renovación de las prácticas docentes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456"/>
        </w:trPr>
        <w:tc>
          <w:tcPr>
            <w:tcW w:w="6646" w:type="dxa"/>
          </w:tcPr>
          <w:p w:rsidR="00812443" w:rsidRPr="001223B9" w:rsidRDefault="008D6896" w:rsidP="007144ED">
            <w:pPr>
              <w:pStyle w:val="Prrafodelista"/>
              <w:numPr>
                <w:ilvl w:val="1"/>
                <w:numId w:val="19"/>
              </w:numPr>
              <w:autoSpaceDE w:val="0"/>
              <w:autoSpaceDN w:val="0"/>
              <w:adjustRightInd w:val="0"/>
              <w:rPr>
                <w:rFonts w:ascii="Gill Sans MT" w:hAnsi="Gill Sans MT" w:cs="Arial"/>
                <w:sz w:val="20"/>
                <w:szCs w:val="20"/>
              </w:rPr>
            </w:pPr>
            <w:r w:rsidRPr="001223B9">
              <w:rPr>
                <w:rFonts w:ascii="Gill Sans MT" w:eastAsiaTheme="minorHAnsi" w:hAnsi="Gill Sans MT" w:cs="DejaVuSerifCondensed"/>
                <w:sz w:val="20"/>
                <w:szCs w:val="20"/>
                <w:lang w:eastAsia="en-US"/>
              </w:rPr>
              <w:t>Aplicación de la investigación en formación educativa centrada en los estudiantes (acompañamiento estudiantil, estudios de satisfacción de estudiantes, estudios de trayectorias, evaluación docente, tutorías, seguimiento de egresados y empleadores y cierre de brechas).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193"/>
        </w:trPr>
        <w:tc>
          <w:tcPr>
            <w:tcW w:w="6646" w:type="dxa"/>
          </w:tcPr>
          <w:p w:rsidR="00812443" w:rsidRPr="001223B9" w:rsidRDefault="008D6896" w:rsidP="007144ED">
            <w:pPr>
              <w:pStyle w:val="Prrafodelista"/>
              <w:numPr>
                <w:ilvl w:val="1"/>
                <w:numId w:val="18"/>
              </w:numPr>
              <w:autoSpaceDE w:val="0"/>
              <w:autoSpaceDN w:val="0"/>
              <w:adjustRightInd w:val="0"/>
              <w:rPr>
                <w:rFonts w:ascii="Gill Sans MT" w:hAnsi="Gill Sans MT" w:cs="Arial"/>
                <w:sz w:val="20"/>
                <w:szCs w:val="20"/>
              </w:rPr>
            </w:pPr>
            <w:r w:rsidRPr="001223B9">
              <w:rPr>
                <w:rFonts w:ascii="Gill Sans MT" w:eastAsiaTheme="minorHAnsi" w:hAnsi="Gill Sans MT" w:cs="DejaVuSerifCondensed"/>
                <w:sz w:val="20"/>
                <w:szCs w:val="20"/>
                <w:lang w:eastAsia="en-US"/>
              </w:rPr>
              <w:t>Eficiencia del uso de los sistemas bibliotecarios y las Tecnologías de la Información y Comunicación (</w:t>
            </w:r>
            <w:proofErr w:type="spellStart"/>
            <w:r w:rsidRPr="001223B9">
              <w:rPr>
                <w:rFonts w:ascii="Gill Sans MT" w:eastAsiaTheme="minorHAnsi" w:hAnsi="Gill Sans MT" w:cs="DejaVuSerifCondensed"/>
                <w:sz w:val="20"/>
                <w:szCs w:val="20"/>
                <w:lang w:eastAsia="en-US"/>
              </w:rPr>
              <w:t>TIC´s</w:t>
            </w:r>
            <w:proofErr w:type="spellEnd"/>
            <w:r w:rsidRPr="001223B9">
              <w:rPr>
                <w:rFonts w:ascii="Gill Sans MT" w:eastAsiaTheme="minorHAnsi" w:hAnsi="Gill Sans MT" w:cs="DejaVuSerifCondensed"/>
                <w:sz w:val="20"/>
                <w:szCs w:val="20"/>
                <w:lang w:eastAsia="en-US"/>
              </w:rPr>
              <w:t>) (desarrollo de las habilidades para su manejo).</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453"/>
        </w:trPr>
        <w:tc>
          <w:tcPr>
            <w:tcW w:w="6646" w:type="dxa"/>
          </w:tcPr>
          <w:p w:rsidR="00812443" w:rsidRPr="001223B9" w:rsidRDefault="008D6896" w:rsidP="007144ED">
            <w:pPr>
              <w:numPr>
                <w:ilvl w:val="1"/>
                <w:numId w:val="18"/>
              </w:numPr>
              <w:jc w:val="both"/>
              <w:rPr>
                <w:rFonts w:ascii="Gill Sans MT" w:hAnsi="Gill Sans MT" w:cs="Arial"/>
                <w:sz w:val="20"/>
                <w:szCs w:val="20"/>
              </w:rPr>
            </w:pPr>
            <w:r w:rsidRPr="001223B9">
              <w:rPr>
                <w:rFonts w:ascii="Gill Sans MT" w:eastAsiaTheme="minorHAnsi" w:hAnsi="Gill Sans MT" w:cs="DejaVuSerifCondensed"/>
                <w:sz w:val="20"/>
                <w:szCs w:val="20"/>
                <w:lang w:eastAsia="en-US"/>
              </w:rPr>
              <w:t xml:space="preserve">Generación y/o incorporación de objetos de aprendizaje (prototipos, software, </w:t>
            </w:r>
            <w:proofErr w:type="spellStart"/>
            <w:r w:rsidRPr="001223B9">
              <w:rPr>
                <w:rFonts w:ascii="Gill Sans MT" w:eastAsiaTheme="minorHAnsi" w:hAnsi="Gill Sans MT" w:cs="DejaVuSerifCondensed"/>
                <w:sz w:val="20"/>
                <w:szCs w:val="20"/>
                <w:lang w:eastAsia="en-US"/>
              </w:rPr>
              <w:t>mooc</w:t>
            </w:r>
            <w:proofErr w:type="spellEnd"/>
            <w:r w:rsidRPr="001223B9">
              <w:rPr>
                <w:rFonts w:ascii="Gill Sans MT" w:eastAsiaTheme="minorHAnsi" w:hAnsi="Gill Sans MT" w:cs="DejaVuSerifCondensed"/>
                <w:sz w:val="20"/>
                <w:szCs w:val="20"/>
                <w:lang w:eastAsia="en-US"/>
              </w:rPr>
              <w:t xml:space="preserve">: </w:t>
            </w:r>
            <w:proofErr w:type="spellStart"/>
            <w:r w:rsidRPr="001223B9">
              <w:rPr>
                <w:rFonts w:ascii="Gill Sans MT" w:eastAsiaTheme="minorHAnsi" w:hAnsi="Gill Sans MT" w:cs="DejaVuSerifCondensed"/>
                <w:sz w:val="20"/>
                <w:szCs w:val="20"/>
                <w:lang w:eastAsia="en-US"/>
              </w:rPr>
              <w:t>massive</w:t>
            </w:r>
            <w:proofErr w:type="spellEnd"/>
            <w:r w:rsidRPr="001223B9">
              <w:rPr>
                <w:rFonts w:ascii="Gill Sans MT" w:eastAsiaTheme="minorHAnsi" w:hAnsi="Gill Sans MT" w:cs="DejaVuSerifCondensed"/>
                <w:sz w:val="20"/>
                <w:szCs w:val="20"/>
                <w:lang w:eastAsia="en-US"/>
              </w:rPr>
              <w:t xml:space="preserve"> open online </w:t>
            </w:r>
            <w:proofErr w:type="spellStart"/>
            <w:r w:rsidRPr="001223B9">
              <w:rPr>
                <w:rFonts w:ascii="Gill Sans MT" w:eastAsiaTheme="minorHAnsi" w:hAnsi="Gill Sans MT" w:cs="DejaVuSerifCondensed"/>
                <w:sz w:val="20"/>
                <w:szCs w:val="20"/>
                <w:lang w:eastAsia="en-US"/>
              </w:rPr>
              <w:t>course</w:t>
            </w:r>
            <w:proofErr w:type="spellEnd"/>
            <w:r w:rsidRPr="001223B9">
              <w:rPr>
                <w:rFonts w:ascii="Gill Sans MT" w:eastAsiaTheme="minorHAnsi" w:hAnsi="Gill Sans MT" w:cs="DejaVuSerifCondensed"/>
                <w:sz w:val="20"/>
                <w:szCs w:val="20"/>
                <w:lang w:eastAsia="en-US"/>
              </w:rPr>
              <w:t>).</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401"/>
        </w:trPr>
        <w:tc>
          <w:tcPr>
            <w:tcW w:w="6646" w:type="dxa"/>
          </w:tcPr>
          <w:p w:rsidR="00812443" w:rsidRPr="001223B9" w:rsidRDefault="008D6896" w:rsidP="007144ED">
            <w:pPr>
              <w:numPr>
                <w:ilvl w:val="1"/>
                <w:numId w:val="18"/>
              </w:numPr>
              <w:jc w:val="both"/>
              <w:rPr>
                <w:rFonts w:ascii="Gill Sans MT" w:hAnsi="Gill Sans MT" w:cs="Arial"/>
                <w:sz w:val="20"/>
                <w:szCs w:val="20"/>
              </w:rPr>
            </w:pPr>
            <w:r w:rsidRPr="001223B9">
              <w:rPr>
                <w:rFonts w:ascii="Gill Sans MT" w:eastAsiaTheme="minorHAnsi" w:hAnsi="Gill Sans MT" w:cs="DejaVuSerifCondensed"/>
                <w:sz w:val="20"/>
                <w:szCs w:val="20"/>
                <w:lang w:eastAsia="en-US"/>
              </w:rPr>
              <w:t>Utilización de espacios virtuales para desarrollar competencias avanzadas para su uso.</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442"/>
        </w:trPr>
        <w:tc>
          <w:tcPr>
            <w:tcW w:w="6646" w:type="dxa"/>
          </w:tcPr>
          <w:p w:rsidR="00812443" w:rsidRPr="001223B9" w:rsidRDefault="00812443" w:rsidP="007144ED">
            <w:pPr>
              <w:numPr>
                <w:ilvl w:val="1"/>
                <w:numId w:val="18"/>
              </w:numPr>
              <w:jc w:val="both"/>
              <w:rPr>
                <w:rFonts w:ascii="Gill Sans MT" w:hAnsi="Gill Sans MT" w:cs="Arial"/>
                <w:sz w:val="20"/>
                <w:szCs w:val="20"/>
              </w:rPr>
            </w:pPr>
            <w:r w:rsidRPr="001223B9">
              <w:rPr>
                <w:rFonts w:ascii="Gill Sans MT" w:hAnsi="Gill Sans MT" w:cs="Arial"/>
                <w:sz w:val="20"/>
                <w:szCs w:val="20"/>
              </w:rPr>
              <w:t>Utilización de espacios virtuales para el desarrollar competencias avanzadas para su uso</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518"/>
        </w:trPr>
        <w:tc>
          <w:tcPr>
            <w:tcW w:w="6646" w:type="dxa"/>
          </w:tcPr>
          <w:p w:rsidR="00812443" w:rsidRPr="001223B9" w:rsidRDefault="008D6896" w:rsidP="007144ED">
            <w:pPr>
              <w:pStyle w:val="Prrafodelista"/>
              <w:numPr>
                <w:ilvl w:val="1"/>
                <w:numId w:val="18"/>
              </w:numPr>
              <w:jc w:val="both"/>
              <w:rPr>
                <w:rFonts w:ascii="Gill Sans MT" w:hAnsi="Gill Sans MT" w:cs="Arial"/>
                <w:sz w:val="20"/>
                <w:szCs w:val="20"/>
              </w:rPr>
            </w:pPr>
            <w:r w:rsidRPr="001223B9">
              <w:rPr>
                <w:rFonts w:ascii="Gill Sans MT" w:eastAsiaTheme="minorHAnsi" w:hAnsi="Gill Sans MT" w:cs="DejaVuSerifCondensed"/>
                <w:sz w:val="20"/>
                <w:szCs w:val="20"/>
                <w:lang w:eastAsia="en-US"/>
              </w:rPr>
              <w:t>Dominio de un segundo idioma (estudiantes y profesores).</w:t>
            </w:r>
          </w:p>
          <w:p w:rsidR="008D6896" w:rsidRPr="001223B9" w:rsidRDefault="008D6896" w:rsidP="007144ED">
            <w:pPr>
              <w:pStyle w:val="Prrafodelista"/>
              <w:numPr>
                <w:ilvl w:val="1"/>
                <w:numId w:val="18"/>
              </w:numPr>
              <w:jc w:val="both"/>
              <w:rPr>
                <w:rFonts w:ascii="Gill Sans MT" w:hAnsi="Gill Sans MT" w:cs="Arial"/>
                <w:sz w:val="20"/>
                <w:szCs w:val="20"/>
              </w:rPr>
            </w:pPr>
            <w:r w:rsidRPr="001223B9">
              <w:rPr>
                <w:rFonts w:ascii="Gill Sans MT" w:eastAsiaTheme="minorHAnsi" w:hAnsi="Gill Sans MT" w:cs="DejaVuSerifCondensed"/>
                <w:sz w:val="20"/>
                <w:szCs w:val="20"/>
                <w:lang w:eastAsia="en-US"/>
              </w:rPr>
              <w:t>Entre otros aspectos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820"/>
        </w:trPr>
        <w:tc>
          <w:tcPr>
            <w:tcW w:w="6646" w:type="dxa"/>
          </w:tcPr>
          <w:p w:rsidR="00812443" w:rsidRPr="001223B9" w:rsidRDefault="00812443" w:rsidP="008D6896">
            <w:pPr>
              <w:numPr>
                <w:ilvl w:val="0"/>
                <w:numId w:val="13"/>
              </w:numPr>
              <w:autoSpaceDE w:val="0"/>
              <w:autoSpaceDN w:val="0"/>
              <w:adjustRightInd w:val="0"/>
              <w:jc w:val="both"/>
              <w:rPr>
                <w:rFonts w:ascii="Gill Sans MT" w:hAnsi="Gill Sans MT" w:cs="Arial"/>
                <w:sz w:val="20"/>
                <w:szCs w:val="20"/>
              </w:rPr>
            </w:pPr>
            <w:r w:rsidRPr="001223B9">
              <w:rPr>
                <w:rFonts w:ascii="Gill Sans MT" w:hAnsi="Gill Sans MT" w:cs="Arial"/>
                <w:sz w:val="20"/>
                <w:szCs w:val="20"/>
              </w:rPr>
              <w:t>Análisis de la cooperación académica nacional e internacionalización (Anexo X</w:t>
            </w:r>
            <w:r w:rsidR="009E14BC">
              <w:rPr>
                <w:rFonts w:ascii="Gill Sans MT" w:hAnsi="Gill Sans MT" w:cs="Arial"/>
                <w:sz w:val="20"/>
                <w:szCs w:val="20"/>
              </w:rPr>
              <w:t>I</w:t>
            </w:r>
            <w:r w:rsidRPr="001223B9">
              <w:rPr>
                <w:rFonts w:ascii="Gill Sans MT" w:hAnsi="Gill Sans MT" w:cs="Arial"/>
                <w:sz w:val="20"/>
                <w:szCs w:val="20"/>
              </w:rPr>
              <w:t>V) que muestre impacto en cuanto a:</w:t>
            </w:r>
          </w:p>
          <w:p w:rsidR="00812443" w:rsidRPr="001223B9" w:rsidRDefault="00812443" w:rsidP="007144ED">
            <w:pPr>
              <w:numPr>
                <w:ilvl w:val="1"/>
                <w:numId w:val="1"/>
              </w:numPr>
              <w:autoSpaceDE w:val="0"/>
              <w:autoSpaceDN w:val="0"/>
              <w:adjustRightInd w:val="0"/>
              <w:jc w:val="both"/>
              <w:rPr>
                <w:rFonts w:ascii="Gill Sans MT" w:hAnsi="Gill Sans MT" w:cs="Arial"/>
                <w:sz w:val="20"/>
                <w:szCs w:val="20"/>
              </w:rPr>
            </w:pPr>
            <w:r w:rsidRPr="001223B9">
              <w:rPr>
                <w:rFonts w:ascii="Gill Sans MT" w:hAnsi="Gill Sans MT" w:cs="Arial"/>
                <w:sz w:val="20"/>
                <w:szCs w:val="20"/>
              </w:rPr>
              <w:t>Convenios de Cooperación académica con universidades nacionales y extranjeras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392"/>
        </w:trPr>
        <w:tc>
          <w:tcPr>
            <w:tcW w:w="6646" w:type="dxa"/>
          </w:tcPr>
          <w:p w:rsidR="00812443" w:rsidRPr="001223B9" w:rsidRDefault="00812443" w:rsidP="008D6896">
            <w:pPr>
              <w:numPr>
                <w:ilvl w:val="1"/>
                <w:numId w:val="1"/>
              </w:numPr>
              <w:autoSpaceDE w:val="0"/>
              <w:autoSpaceDN w:val="0"/>
              <w:adjustRightInd w:val="0"/>
              <w:jc w:val="both"/>
              <w:rPr>
                <w:rFonts w:ascii="Gill Sans MT" w:hAnsi="Gill Sans MT" w:cs="Arial"/>
                <w:sz w:val="20"/>
                <w:szCs w:val="20"/>
              </w:rPr>
            </w:pPr>
            <w:r w:rsidRPr="001223B9">
              <w:rPr>
                <w:rFonts w:ascii="Gill Sans MT" w:hAnsi="Gill Sans MT" w:cs="Arial"/>
                <w:sz w:val="20"/>
                <w:szCs w:val="20"/>
              </w:rPr>
              <w:t xml:space="preserve">Establecer la cooperación académica internacional para impulsar la sustentabilidad </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442"/>
        </w:trPr>
        <w:tc>
          <w:tcPr>
            <w:tcW w:w="6646" w:type="dxa"/>
          </w:tcPr>
          <w:p w:rsidR="008D6896" w:rsidRPr="001223B9" w:rsidRDefault="008D6896" w:rsidP="008D6896">
            <w:pPr>
              <w:numPr>
                <w:ilvl w:val="1"/>
                <w:numId w:val="1"/>
              </w:numPr>
              <w:autoSpaceDE w:val="0"/>
              <w:autoSpaceDN w:val="0"/>
              <w:adjustRightInd w:val="0"/>
              <w:jc w:val="both"/>
              <w:rPr>
                <w:rFonts w:ascii="Gill Sans MT" w:hAnsi="Gill Sans MT" w:cs="Arial"/>
                <w:sz w:val="20"/>
                <w:szCs w:val="20"/>
              </w:rPr>
            </w:pPr>
            <w:r w:rsidRPr="001223B9">
              <w:rPr>
                <w:rFonts w:ascii="Gill Sans MT" w:eastAsiaTheme="minorHAnsi" w:hAnsi="Gill Sans MT" w:cs="DejaVuSerifCondensed"/>
                <w:sz w:val="20"/>
                <w:szCs w:val="20"/>
                <w:lang w:eastAsia="en-US"/>
              </w:rPr>
              <w:t>Programas educativos interinstitucionales con o sin doble titulación.</w:t>
            </w:r>
          </w:p>
          <w:p w:rsidR="00812443" w:rsidRPr="001223B9" w:rsidRDefault="00812443" w:rsidP="008D6896">
            <w:pPr>
              <w:numPr>
                <w:ilvl w:val="1"/>
                <w:numId w:val="1"/>
              </w:numPr>
              <w:autoSpaceDE w:val="0"/>
              <w:autoSpaceDN w:val="0"/>
              <w:adjustRightInd w:val="0"/>
              <w:jc w:val="both"/>
              <w:rPr>
                <w:rFonts w:ascii="Gill Sans MT" w:hAnsi="Gill Sans MT" w:cs="Arial"/>
                <w:sz w:val="20"/>
                <w:szCs w:val="20"/>
              </w:rPr>
            </w:pPr>
            <w:r w:rsidRPr="001223B9">
              <w:rPr>
                <w:rFonts w:ascii="Gill Sans MT" w:hAnsi="Gill Sans MT" w:cs="Arial"/>
                <w:sz w:val="20"/>
                <w:szCs w:val="20"/>
              </w:rPr>
              <w:t>Redes académicas con otras DES de la institución o centros educativos nacionales y extranjeros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720"/>
        </w:trPr>
        <w:tc>
          <w:tcPr>
            <w:tcW w:w="6646" w:type="dxa"/>
          </w:tcPr>
          <w:p w:rsidR="00812443" w:rsidRPr="001223B9" w:rsidRDefault="00812443" w:rsidP="008D6896">
            <w:pPr>
              <w:numPr>
                <w:ilvl w:val="1"/>
                <w:numId w:val="1"/>
              </w:numPr>
              <w:autoSpaceDE w:val="0"/>
              <w:autoSpaceDN w:val="0"/>
              <w:adjustRightInd w:val="0"/>
              <w:jc w:val="both"/>
              <w:rPr>
                <w:rFonts w:ascii="Gill Sans MT" w:hAnsi="Gill Sans MT" w:cs="Arial"/>
                <w:sz w:val="20"/>
                <w:szCs w:val="20"/>
              </w:rPr>
            </w:pPr>
            <w:r w:rsidRPr="001223B9">
              <w:rPr>
                <w:rFonts w:ascii="Gill Sans MT" w:hAnsi="Gill Sans MT" w:cs="Arial"/>
                <w:sz w:val="20"/>
                <w:szCs w:val="20"/>
              </w:rPr>
              <w:t>Movilidad estudiantil nacional e internacional: cursos de verano, semestres con reconocimiento de créditos, estudios de posgrado de jóvenes egresados.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492"/>
        </w:trPr>
        <w:tc>
          <w:tcPr>
            <w:tcW w:w="6646" w:type="dxa"/>
          </w:tcPr>
          <w:p w:rsidR="00812443" w:rsidRPr="001223B9" w:rsidRDefault="00812443" w:rsidP="008D6896">
            <w:pPr>
              <w:numPr>
                <w:ilvl w:val="1"/>
                <w:numId w:val="1"/>
              </w:numPr>
              <w:autoSpaceDE w:val="0"/>
              <w:autoSpaceDN w:val="0"/>
              <w:adjustRightInd w:val="0"/>
              <w:jc w:val="both"/>
              <w:rPr>
                <w:rFonts w:ascii="Gill Sans MT" w:hAnsi="Gill Sans MT" w:cs="Arial"/>
                <w:sz w:val="20"/>
                <w:szCs w:val="20"/>
              </w:rPr>
            </w:pPr>
            <w:r w:rsidRPr="001223B9">
              <w:rPr>
                <w:rFonts w:ascii="Gill Sans MT" w:hAnsi="Gill Sans MT" w:cs="Arial"/>
                <w:sz w:val="20"/>
                <w:szCs w:val="20"/>
              </w:rPr>
              <w:t>Movilidad de académicos nacional e internacional: estancias, estudios de posgrado.</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670"/>
        </w:trPr>
        <w:tc>
          <w:tcPr>
            <w:tcW w:w="6646" w:type="dxa"/>
          </w:tcPr>
          <w:p w:rsidR="00812443" w:rsidRPr="001223B9" w:rsidRDefault="00812443" w:rsidP="008D6896">
            <w:pPr>
              <w:numPr>
                <w:ilvl w:val="1"/>
                <w:numId w:val="1"/>
              </w:numPr>
              <w:autoSpaceDE w:val="0"/>
              <w:autoSpaceDN w:val="0"/>
              <w:adjustRightInd w:val="0"/>
              <w:jc w:val="both"/>
              <w:rPr>
                <w:rFonts w:ascii="Gill Sans MT" w:hAnsi="Gill Sans MT" w:cs="Arial"/>
                <w:sz w:val="20"/>
                <w:szCs w:val="20"/>
              </w:rPr>
            </w:pPr>
            <w:r w:rsidRPr="001223B9">
              <w:rPr>
                <w:rFonts w:ascii="Gill Sans MT" w:hAnsi="Gill Sans MT" w:cs="Arial"/>
                <w:sz w:val="20"/>
                <w:szCs w:val="20"/>
              </w:rPr>
              <w:t>Contribución al fortalecimiento de la capacidad de investigación en áreas estratégicas del conocimiento y fomentar la cooperación y el intercambio académico.</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606"/>
        </w:trPr>
        <w:tc>
          <w:tcPr>
            <w:tcW w:w="6646" w:type="dxa"/>
          </w:tcPr>
          <w:p w:rsidR="00812443" w:rsidRPr="001223B9" w:rsidRDefault="00812443" w:rsidP="008D6896">
            <w:pPr>
              <w:numPr>
                <w:ilvl w:val="1"/>
                <w:numId w:val="1"/>
              </w:numPr>
              <w:autoSpaceDE w:val="0"/>
              <w:autoSpaceDN w:val="0"/>
              <w:adjustRightInd w:val="0"/>
              <w:jc w:val="both"/>
              <w:rPr>
                <w:rFonts w:ascii="Gill Sans MT" w:hAnsi="Gill Sans MT" w:cs="Arial"/>
                <w:sz w:val="20"/>
                <w:szCs w:val="20"/>
              </w:rPr>
            </w:pPr>
            <w:r w:rsidRPr="001223B9">
              <w:rPr>
                <w:rFonts w:ascii="Gill Sans MT" w:hAnsi="Gill Sans MT" w:cs="Arial"/>
                <w:sz w:val="20"/>
                <w:szCs w:val="20"/>
              </w:rPr>
              <w:t>Capacitación de fondos internacionales a través de la cooperación y el intercambio académico.</w:t>
            </w:r>
          </w:p>
          <w:p w:rsidR="00DB1E7F" w:rsidRPr="001223B9" w:rsidRDefault="00DB1E7F" w:rsidP="00DB1E7F">
            <w:pPr>
              <w:pStyle w:val="Prrafodelista"/>
              <w:numPr>
                <w:ilvl w:val="1"/>
                <w:numId w:val="1"/>
              </w:numPr>
              <w:autoSpaceDE w:val="0"/>
              <w:autoSpaceDN w:val="0"/>
              <w:adjustRightInd w:val="0"/>
              <w:rPr>
                <w:rFonts w:ascii="Gill Sans MT" w:hAnsi="Gill Sans MT" w:cs="Arial"/>
                <w:sz w:val="20"/>
                <w:szCs w:val="20"/>
              </w:rPr>
            </w:pPr>
            <w:r w:rsidRPr="001223B9">
              <w:rPr>
                <w:rFonts w:ascii="Gill Sans MT" w:eastAsiaTheme="minorHAnsi" w:hAnsi="Gill Sans MT" w:cs="DejaVuSerifCondensed"/>
                <w:sz w:val="20"/>
                <w:szCs w:val="20"/>
                <w:lang w:eastAsia="en-US"/>
              </w:rPr>
              <w:t xml:space="preserve">Fomentar el manejo de la lengua e </w:t>
            </w:r>
            <w:proofErr w:type="spellStart"/>
            <w:r w:rsidRPr="001223B9">
              <w:rPr>
                <w:rFonts w:ascii="Gill Sans MT" w:eastAsiaTheme="minorHAnsi" w:hAnsi="Gill Sans MT" w:cs="DejaVuSerifCondensed"/>
                <w:sz w:val="20"/>
                <w:szCs w:val="20"/>
                <w:lang w:eastAsia="en-US"/>
              </w:rPr>
              <w:t>interculturación</w:t>
            </w:r>
            <w:proofErr w:type="spellEnd"/>
            <w:r w:rsidRPr="001223B9">
              <w:rPr>
                <w:rFonts w:ascii="Gill Sans MT" w:eastAsiaTheme="minorHAnsi" w:hAnsi="Gill Sans MT" w:cs="DejaVuSerifCondensed"/>
                <w:sz w:val="20"/>
                <w:szCs w:val="20"/>
                <w:lang w:eastAsia="en-US"/>
              </w:rPr>
              <w:t xml:space="preserve"> del país donde se realiza el intercambio, así como la realización de actividades extracurriculares para profesores y estudiantes extranjeros.</w:t>
            </w:r>
          </w:p>
          <w:p w:rsidR="00DB1E7F" w:rsidRPr="001223B9" w:rsidRDefault="00DB1E7F" w:rsidP="00DB1E7F">
            <w:pPr>
              <w:pStyle w:val="Prrafodelista"/>
              <w:numPr>
                <w:ilvl w:val="1"/>
                <w:numId w:val="1"/>
              </w:numPr>
              <w:autoSpaceDE w:val="0"/>
              <w:autoSpaceDN w:val="0"/>
              <w:adjustRightInd w:val="0"/>
              <w:rPr>
                <w:rFonts w:ascii="Gill Sans MT" w:eastAsiaTheme="minorHAnsi" w:hAnsi="Gill Sans MT" w:cs="DejaVuSerifCondensed"/>
                <w:sz w:val="20"/>
                <w:szCs w:val="20"/>
                <w:lang w:eastAsia="en-US"/>
              </w:rPr>
            </w:pPr>
            <w:r w:rsidRPr="001223B9">
              <w:rPr>
                <w:rFonts w:ascii="Gill Sans MT" w:eastAsiaTheme="minorHAnsi" w:hAnsi="Gill Sans MT" w:cs="DejaVuSerifCondensed"/>
                <w:sz w:val="20"/>
                <w:szCs w:val="20"/>
                <w:lang w:eastAsia="en-US"/>
              </w:rPr>
              <w:lastRenderedPageBreak/>
              <w:t>Fomentar la colaboración en programas y proyectos de investigación científica y tecnológica, en donde participen</w:t>
            </w:r>
            <w:r w:rsidR="00CD4513">
              <w:rPr>
                <w:rFonts w:ascii="Gill Sans MT" w:eastAsiaTheme="minorHAnsi" w:hAnsi="Gill Sans MT" w:cs="DejaVuSerifCondensed"/>
                <w:sz w:val="20"/>
                <w:szCs w:val="20"/>
                <w:lang w:eastAsia="en-US"/>
              </w:rPr>
              <w:t xml:space="preserve"> </w:t>
            </w:r>
            <w:r w:rsidRPr="001223B9">
              <w:rPr>
                <w:rFonts w:ascii="Gill Sans MT" w:eastAsiaTheme="minorHAnsi" w:hAnsi="Gill Sans MT" w:cs="DejaVuSerifCondensed"/>
                <w:sz w:val="20"/>
                <w:szCs w:val="20"/>
                <w:lang w:eastAsia="en-US"/>
              </w:rPr>
              <w:t>estudiantes.</w:t>
            </w:r>
          </w:p>
          <w:p w:rsidR="00DB1E7F" w:rsidRPr="001223B9" w:rsidRDefault="00DB1E7F" w:rsidP="00DB1E7F">
            <w:pPr>
              <w:pStyle w:val="Prrafodelista"/>
              <w:numPr>
                <w:ilvl w:val="1"/>
                <w:numId w:val="1"/>
              </w:numPr>
              <w:autoSpaceDE w:val="0"/>
              <w:autoSpaceDN w:val="0"/>
              <w:adjustRightInd w:val="0"/>
              <w:rPr>
                <w:rFonts w:ascii="Gill Sans MT" w:eastAsiaTheme="minorHAnsi" w:hAnsi="Gill Sans MT" w:cs="DejaVuSerifCondensed"/>
                <w:sz w:val="20"/>
                <w:szCs w:val="20"/>
                <w:lang w:eastAsia="en-US"/>
              </w:rPr>
            </w:pPr>
            <w:r w:rsidRPr="001223B9">
              <w:rPr>
                <w:rFonts w:ascii="Gill Sans MT" w:eastAsiaTheme="minorHAnsi" w:hAnsi="Gill Sans MT" w:cs="DejaVuSerifCondensed"/>
                <w:sz w:val="20"/>
                <w:szCs w:val="20"/>
                <w:lang w:eastAsia="en-US"/>
              </w:rPr>
              <w:t>Entre otros aspectos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tcPr>
          <w:p w:rsidR="00812443" w:rsidRPr="001223B9" w:rsidRDefault="00812443" w:rsidP="00DB1E7F">
            <w:pPr>
              <w:numPr>
                <w:ilvl w:val="0"/>
                <w:numId w:val="2"/>
              </w:numPr>
              <w:jc w:val="both"/>
              <w:rPr>
                <w:rFonts w:ascii="Gill Sans MT" w:hAnsi="Gill Sans MT" w:cs="Arial"/>
                <w:sz w:val="20"/>
                <w:szCs w:val="20"/>
              </w:rPr>
            </w:pPr>
            <w:r w:rsidRPr="001223B9">
              <w:rPr>
                <w:rFonts w:ascii="Gill Sans MT" w:hAnsi="Gill Sans MT" w:cs="Arial"/>
                <w:sz w:val="20"/>
                <w:szCs w:val="20"/>
              </w:rPr>
              <w:lastRenderedPageBreak/>
              <w:t>Tabla resumen del impacto cuantitativo alcanzado en la cooperación nacional e internacionalización</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884"/>
        </w:trPr>
        <w:tc>
          <w:tcPr>
            <w:tcW w:w="6646" w:type="dxa"/>
          </w:tcPr>
          <w:p w:rsidR="00812443" w:rsidRPr="001223B9" w:rsidRDefault="00812443" w:rsidP="008D6896">
            <w:pPr>
              <w:numPr>
                <w:ilvl w:val="0"/>
                <w:numId w:val="12"/>
              </w:numPr>
              <w:jc w:val="both"/>
              <w:rPr>
                <w:rFonts w:ascii="Gill Sans MT" w:hAnsi="Gill Sans MT" w:cs="Arial"/>
                <w:sz w:val="20"/>
                <w:szCs w:val="20"/>
              </w:rPr>
            </w:pPr>
            <w:r w:rsidRPr="001223B9">
              <w:rPr>
                <w:rFonts w:ascii="Gill Sans MT" w:hAnsi="Gill Sans MT" w:cs="Arial"/>
                <w:sz w:val="20"/>
                <w:szCs w:val="20"/>
              </w:rPr>
              <w:t>Análisis del impulso a la educación ambiental para el desarrollo sustentable considerar el impacto en cuanto:</w:t>
            </w:r>
          </w:p>
          <w:p w:rsidR="00812443" w:rsidRPr="001223B9" w:rsidRDefault="00812443" w:rsidP="008D6896">
            <w:pPr>
              <w:numPr>
                <w:ilvl w:val="1"/>
                <w:numId w:val="2"/>
              </w:numPr>
              <w:jc w:val="both"/>
              <w:rPr>
                <w:rFonts w:ascii="Gill Sans MT" w:hAnsi="Gill Sans MT" w:cs="Arial"/>
                <w:sz w:val="20"/>
                <w:szCs w:val="20"/>
              </w:rPr>
            </w:pPr>
            <w:r w:rsidRPr="001223B9">
              <w:rPr>
                <w:rFonts w:ascii="Gill Sans MT" w:hAnsi="Gill Sans MT" w:cs="Arial"/>
                <w:sz w:val="20"/>
                <w:szCs w:val="20"/>
              </w:rPr>
              <w:t>Oferta educativa relacionada con el medio ambiente y el desarrollo sustentable</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513"/>
        </w:trPr>
        <w:tc>
          <w:tcPr>
            <w:tcW w:w="6646" w:type="dxa"/>
          </w:tcPr>
          <w:p w:rsidR="00812443" w:rsidRPr="001223B9" w:rsidRDefault="00812443" w:rsidP="008D6896">
            <w:pPr>
              <w:numPr>
                <w:ilvl w:val="1"/>
                <w:numId w:val="2"/>
              </w:numPr>
              <w:jc w:val="both"/>
              <w:rPr>
                <w:rFonts w:ascii="Gill Sans MT" w:hAnsi="Gill Sans MT" w:cs="Arial"/>
                <w:sz w:val="20"/>
                <w:szCs w:val="20"/>
              </w:rPr>
            </w:pPr>
            <w:r w:rsidRPr="001223B9">
              <w:rPr>
                <w:rFonts w:ascii="Gill Sans MT" w:hAnsi="Gill Sans MT" w:cs="Arial"/>
                <w:sz w:val="20"/>
                <w:szCs w:val="20"/>
              </w:rPr>
              <w:t>Inclusión en la temática ambiental en los planes y programas de estudio</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720"/>
        </w:trPr>
        <w:tc>
          <w:tcPr>
            <w:tcW w:w="6646" w:type="dxa"/>
          </w:tcPr>
          <w:p w:rsidR="00812443" w:rsidRPr="001223B9" w:rsidRDefault="00812443" w:rsidP="008D6896">
            <w:pPr>
              <w:numPr>
                <w:ilvl w:val="1"/>
                <w:numId w:val="2"/>
              </w:numPr>
              <w:jc w:val="both"/>
              <w:rPr>
                <w:rFonts w:ascii="Gill Sans MT" w:hAnsi="Gill Sans MT" w:cs="Arial"/>
                <w:sz w:val="20"/>
                <w:szCs w:val="20"/>
              </w:rPr>
            </w:pPr>
            <w:r w:rsidRPr="001223B9">
              <w:rPr>
                <w:rFonts w:ascii="Gill Sans MT" w:hAnsi="Gill Sans MT" w:cs="Arial"/>
                <w:sz w:val="20"/>
                <w:szCs w:val="20"/>
              </w:rPr>
              <w:t>Investigación científica y cuerpos académicos relacionados con la temática ambiental para el desarrollo sustentable</w:t>
            </w:r>
          </w:p>
          <w:p w:rsidR="00DB1E7F" w:rsidRPr="001223B9" w:rsidRDefault="00DB1E7F" w:rsidP="00DB1E7F">
            <w:pPr>
              <w:pStyle w:val="Prrafodelista"/>
              <w:numPr>
                <w:ilvl w:val="1"/>
                <w:numId w:val="2"/>
              </w:numPr>
              <w:autoSpaceDE w:val="0"/>
              <w:autoSpaceDN w:val="0"/>
              <w:adjustRightInd w:val="0"/>
              <w:rPr>
                <w:rFonts w:ascii="Gill Sans MT" w:hAnsi="Gill Sans MT" w:cs="Arial"/>
                <w:sz w:val="20"/>
                <w:szCs w:val="20"/>
              </w:rPr>
            </w:pPr>
            <w:r w:rsidRPr="001223B9">
              <w:rPr>
                <w:rFonts w:ascii="Gill Sans MT" w:hAnsi="Gill Sans MT" w:cs="Arial"/>
                <w:sz w:val="20"/>
                <w:szCs w:val="20"/>
              </w:rPr>
              <w:t xml:space="preserve">Conformación </w:t>
            </w:r>
            <w:r w:rsidRPr="001223B9">
              <w:rPr>
                <w:rFonts w:ascii="Gill Sans MT" w:eastAsiaTheme="minorHAnsi" w:hAnsi="Gill Sans MT" w:cs="DejaVuSerifCondensed"/>
                <w:sz w:val="20"/>
                <w:szCs w:val="20"/>
                <w:lang w:eastAsia="en-US"/>
              </w:rPr>
              <w:t>operación de redes de Cuerpos Académicos relacionados con la temática ambiental para el desarrollo sustentable.</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670"/>
        </w:trPr>
        <w:tc>
          <w:tcPr>
            <w:tcW w:w="6646" w:type="dxa"/>
          </w:tcPr>
          <w:p w:rsidR="00812443" w:rsidRPr="001223B9" w:rsidRDefault="00812443" w:rsidP="008D6896">
            <w:pPr>
              <w:numPr>
                <w:ilvl w:val="1"/>
                <w:numId w:val="2"/>
              </w:numPr>
              <w:jc w:val="both"/>
              <w:rPr>
                <w:rFonts w:ascii="Gill Sans MT" w:hAnsi="Gill Sans MT" w:cs="Arial"/>
                <w:sz w:val="20"/>
                <w:szCs w:val="20"/>
              </w:rPr>
            </w:pPr>
            <w:r w:rsidRPr="001223B9">
              <w:rPr>
                <w:rFonts w:ascii="Gill Sans MT" w:hAnsi="Gill Sans MT" w:cs="Arial"/>
                <w:sz w:val="20"/>
                <w:szCs w:val="20"/>
              </w:rPr>
              <w:t>Promoción de educación ambiental sustentable en la comunidad de la DES, en la institución y al exterior de la sociedad, especialmente a niños y jóvenes</w:t>
            </w:r>
          </w:p>
        </w:tc>
        <w:tc>
          <w:tcPr>
            <w:tcW w:w="719" w:type="dxa"/>
            <w:vMerge w:val="restart"/>
          </w:tcPr>
          <w:p w:rsidR="00812443" w:rsidRPr="001223B9" w:rsidRDefault="00812443" w:rsidP="008D6896">
            <w:pPr>
              <w:jc w:val="both"/>
              <w:rPr>
                <w:rFonts w:ascii="Gill Sans MT" w:hAnsi="Gill Sans MT" w:cs="Arial"/>
                <w:sz w:val="20"/>
                <w:szCs w:val="20"/>
              </w:rPr>
            </w:pPr>
          </w:p>
        </w:tc>
        <w:tc>
          <w:tcPr>
            <w:tcW w:w="540" w:type="dxa"/>
            <w:vMerge w:val="restart"/>
          </w:tcPr>
          <w:p w:rsidR="00812443" w:rsidRPr="001223B9" w:rsidRDefault="00812443" w:rsidP="008D6896">
            <w:pPr>
              <w:jc w:val="both"/>
              <w:rPr>
                <w:rFonts w:ascii="Gill Sans MT" w:hAnsi="Gill Sans MT" w:cs="Arial"/>
                <w:sz w:val="20"/>
                <w:szCs w:val="20"/>
              </w:rPr>
            </w:pPr>
          </w:p>
        </w:tc>
        <w:tc>
          <w:tcPr>
            <w:tcW w:w="1149" w:type="dxa"/>
            <w:vMerge w:val="restart"/>
          </w:tcPr>
          <w:p w:rsidR="00812443" w:rsidRPr="001223B9" w:rsidRDefault="00812443" w:rsidP="008D6896">
            <w:pPr>
              <w:jc w:val="both"/>
              <w:rPr>
                <w:rFonts w:ascii="Gill Sans MT" w:hAnsi="Gill Sans MT" w:cs="Arial"/>
                <w:sz w:val="20"/>
                <w:szCs w:val="20"/>
              </w:rPr>
            </w:pPr>
          </w:p>
        </w:tc>
      </w:tr>
      <w:tr w:rsidR="00812443" w:rsidRPr="001223B9" w:rsidTr="008D6896">
        <w:trPr>
          <w:trHeight w:val="797"/>
        </w:trPr>
        <w:tc>
          <w:tcPr>
            <w:tcW w:w="6646" w:type="dxa"/>
          </w:tcPr>
          <w:p w:rsidR="00812443" w:rsidRPr="001223B9" w:rsidRDefault="00812443" w:rsidP="008D6896">
            <w:pPr>
              <w:numPr>
                <w:ilvl w:val="1"/>
                <w:numId w:val="2"/>
              </w:numPr>
              <w:jc w:val="both"/>
              <w:rPr>
                <w:rFonts w:ascii="Gill Sans MT" w:hAnsi="Gill Sans MT" w:cs="Arial"/>
                <w:sz w:val="20"/>
                <w:szCs w:val="20"/>
              </w:rPr>
            </w:pPr>
            <w:r w:rsidRPr="001223B9">
              <w:rPr>
                <w:rFonts w:ascii="Gill Sans MT" w:hAnsi="Gill Sans MT" w:cs="Arial"/>
                <w:sz w:val="20"/>
                <w:szCs w:val="20"/>
              </w:rPr>
              <w:t>Participación en programas de difusión y cuidado del medio ambiente del Gobierno Federal, Estatal y Municipales.</w:t>
            </w:r>
          </w:p>
        </w:tc>
        <w:tc>
          <w:tcPr>
            <w:tcW w:w="719" w:type="dxa"/>
            <w:vMerge/>
          </w:tcPr>
          <w:p w:rsidR="00812443" w:rsidRPr="001223B9" w:rsidRDefault="00812443" w:rsidP="008D6896">
            <w:pPr>
              <w:jc w:val="both"/>
              <w:rPr>
                <w:rFonts w:ascii="Gill Sans MT" w:hAnsi="Gill Sans MT" w:cs="Arial"/>
                <w:sz w:val="20"/>
                <w:szCs w:val="20"/>
              </w:rPr>
            </w:pPr>
          </w:p>
        </w:tc>
        <w:tc>
          <w:tcPr>
            <w:tcW w:w="540" w:type="dxa"/>
            <w:vMerge/>
          </w:tcPr>
          <w:p w:rsidR="00812443" w:rsidRPr="001223B9" w:rsidRDefault="00812443" w:rsidP="008D6896">
            <w:pPr>
              <w:jc w:val="both"/>
              <w:rPr>
                <w:rFonts w:ascii="Gill Sans MT" w:hAnsi="Gill Sans MT" w:cs="Arial"/>
                <w:sz w:val="20"/>
                <w:szCs w:val="20"/>
              </w:rPr>
            </w:pPr>
          </w:p>
        </w:tc>
        <w:tc>
          <w:tcPr>
            <w:tcW w:w="1149" w:type="dxa"/>
            <w:vMerge/>
          </w:tcPr>
          <w:p w:rsidR="00812443" w:rsidRPr="001223B9" w:rsidRDefault="00812443" w:rsidP="008D6896">
            <w:pPr>
              <w:jc w:val="both"/>
              <w:rPr>
                <w:rFonts w:ascii="Gill Sans MT" w:hAnsi="Gill Sans MT" w:cs="Arial"/>
                <w:sz w:val="20"/>
                <w:szCs w:val="20"/>
              </w:rPr>
            </w:pPr>
          </w:p>
        </w:tc>
      </w:tr>
      <w:tr w:rsidR="00812443" w:rsidRPr="001223B9" w:rsidTr="008D6896">
        <w:trPr>
          <w:trHeight w:val="706"/>
        </w:trPr>
        <w:tc>
          <w:tcPr>
            <w:tcW w:w="6646" w:type="dxa"/>
          </w:tcPr>
          <w:p w:rsidR="00812443" w:rsidRPr="001223B9" w:rsidRDefault="00812443" w:rsidP="008D6896">
            <w:pPr>
              <w:numPr>
                <w:ilvl w:val="1"/>
                <w:numId w:val="2"/>
              </w:numPr>
              <w:jc w:val="both"/>
              <w:rPr>
                <w:rFonts w:ascii="Gill Sans MT" w:hAnsi="Gill Sans MT" w:cs="Arial"/>
                <w:sz w:val="20"/>
                <w:szCs w:val="20"/>
              </w:rPr>
            </w:pPr>
            <w:r w:rsidRPr="001223B9">
              <w:rPr>
                <w:rFonts w:ascii="Gill Sans MT" w:hAnsi="Gill Sans MT" w:cs="Arial"/>
                <w:sz w:val="20"/>
                <w:szCs w:val="20"/>
              </w:rPr>
              <w:t>Captación de fondos nacionales e internacionales en temas relacionados con el medio ambiente y el desarrollo sustentable.</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727"/>
        </w:trPr>
        <w:tc>
          <w:tcPr>
            <w:tcW w:w="6646" w:type="dxa"/>
          </w:tcPr>
          <w:p w:rsidR="00812443" w:rsidRPr="001223B9" w:rsidRDefault="00DB1E7F" w:rsidP="008D6896">
            <w:pPr>
              <w:numPr>
                <w:ilvl w:val="1"/>
                <w:numId w:val="2"/>
              </w:numPr>
              <w:jc w:val="both"/>
              <w:rPr>
                <w:rFonts w:ascii="Gill Sans MT" w:hAnsi="Gill Sans MT" w:cs="Arial"/>
                <w:sz w:val="20"/>
                <w:szCs w:val="20"/>
              </w:rPr>
            </w:pPr>
            <w:r w:rsidRPr="001223B9">
              <w:rPr>
                <w:rFonts w:ascii="Gill Sans MT" w:hAnsi="Gill Sans MT" w:cs="Arial"/>
                <w:sz w:val="20"/>
                <w:szCs w:val="20"/>
              </w:rPr>
              <w:t>P</w:t>
            </w:r>
            <w:r w:rsidR="00812443" w:rsidRPr="001223B9">
              <w:rPr>
                <w:rFonts w:ascii="Gill Sans MT" w:hAnsi="Gill Sans MT" w:cs="Arial"/>
                <w:sz w:val="20"/>
                <w:szCs w:val="20"/>
              </w:rPr>
              <w:t>rograma de mantenimiento y crecimiento de la áreas verdes de la DES en coordinación con el área institucional respectiva</w:t>
            </w:r>
          </w:p>
          <w:p w:rsidR="00DB1E7F" w:rsidRPr="001223B9" w:rsidRDefault="00DB1E7F" w:rsidP="008D6896">
            <w:pPr>
              <w:numPr>
                <w:ilvl w:val="1"/>
                <w:numId w:val="2"/>
              </w:numPr>
              <w:jc w:val="both"/>
              <w:rPr>
                <w:rFonts w:ascii="Gill Sans MT" w:hAnsi="Gill Sans MT" w:cs="Arial"/>
                <w:sz w:val="20"/>
                <w:szCs w:val="20"/>
              </w:rPr>
            </w:pPr>
            <w:r w:rsidRPr="001223B9">
              <w:rPr>
                <w:rFonts w:ascii="Gill Sans MT" w:hAnsi="Gill Sans MT" w:cs="Arial"/>
                <w:sz w:val="20"/>
                <w:szCs w:val="20"/>
              </w:rPr>
              <w:t>Entre otros aspectos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677"/>
        </w:trPr>
        <w:tc>
          <w:tcPr>
            <w:tcW w:w="6646" w:type="dxa"/>
          </w:tcPr>
          <w:p w:rsidR="00812443" w:rsidRPr="001223B9" w:rsidRDefault="00812443" w:rsidP="008D6896">
            <w:pPr>
              <w:numPr>
                <w:ilvl w:val="0"/>
                <w:numId w:val="11"/>
              </w:numPr>
              <w:jc w:val="both"/>
              <w:rPr>
                <w:rFonts w:ascii="Gill Sans MT" w:hAnsi="Gill Sans MT" w:cs="Arial"/>
                <w:sz w:val="20"/>
                <w:szCs w:val="20"/>
              </w:rPr>
            </w:pPr>
            <w:r w:rsidRPr="001223B9">
              <w:rPr>
                <w:rFonts w:ascii="Gill Sans MT" w:hAnsi="Gill Sans MT" w:cs="Arial"/>
                <w:sz w:val="20"/>
                <w:szCs w:val="20"/>
              </w:rPr>
              <w:t>Análisis de la vinculación con el entorno en acciones que lleva a cabo la DES (Anexo X</w:t>
            </w:r>
            <w:r w:rsidR="009E14BC">
              <w:rPr>
                <w:rFonts w:ascii="Gill Sans MT" w:hAnsi="Gill Sans MT" w:cs="Arial"/>
                <w:sz w:val="20"/>
                <w:szCs w:val="20"/>
              </w:rPr>
              <w:t>I</w:t>
            </w:r>
            <w:r w:rsidRPr="001223B9">
              <w:rPr>
                <w:rFonts w:ascii="Gill Sans MT" w:hAnsi="Gill Sans MT" w:cs="Arial"/>
                <w:sz w:val="20"/>
                <w:szCs w:val="20"/>
              </w:rPr>
              <w:t>V) en cuanto a:</w:t>
            </w:r>
          </w:p>
          <w:p w:rsidR="00812443" w:rsidRPr="001223B9" w:rsidRDefault="00DB1E7F" w:rsidP="00DB1E7F">
            <w:pPr>
              <w:pStyle w:val="Prrafodelista"/>
              <w:numPr>
                <w:ilvl w:val="1"/>
                <w:numId w:val="11"/>
              </w:numPr>
              <w:autoSpaceDE w:val="0"/>
              <w:autoSpaceDN w:val="0"/>
              <w:adjustRightInd w:val="0"/>
              <w:rPr>
                <w:rFonts w:ascii="Gill Sans MT" w:hAnsi="Gill Sans MT" w:cs="Arial"/>
                <w:sz w:val="20"/>
                <w:szCs w:val="20"/>
              </w:rPr>
            </w:pPr>
            <w:r w:rsidRPr="001223B9">
              <w:rPr>
                <w:rFonts w:ascii="Gill Sans MT" w:eastAsiaTheme="minorHAnsi" w:hAnsi="Gill Sans MT" w:cs="DejaVuSerifCondensed"/>
                <w:sz w:val="20"/>
                <w:szCs w:val="20"/>
                <w:lang w:eastAsia="en-US"/>
              </w:rPr>
              <w:t>Fortalecimiento para la formación profesional universitaria a partir del servicio social, práctica profesional, estancias en empresas.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670"/>
        </w:trPr>
        <w:tc>
          <w:tcPr>
            <w:tcW w:w="6646" w:type="dxa"/>
          </w:tcPr>
          <w:p w:rsidR="00812443" w:rsidRPr="001223B9" w:rsidRDefault="00DB1E7F" w:rsidP="008D6896">
            <w:pPr>
              <w:numPr>
                <w:ilvl w:val="1"/>
                <w:numId w:val="2"/>
              </w:numPr>
              <w:jc w:val="both"/>
              <w:rPr>
                <w:rFonts w:ascii="Gill Sans MT" w:hAnsi="Gill Sans MT" w:cs="Arial"/>
                <w:sz w:val="20"/>
                <w:szCs w:val="20"/>
              </w:rPr>
            </w:pPr>
            <w:r w:rsidRPr="001223B9">
              <w:rPr>
                <w:rFonts w:ascii="Gill Sans MT" w:eastAsiaTheme="minorHAnsi" w:hAnsi="Gill Sans MT" w:cs="DejaVuSerifCondensed"/>
                <w:sz w:val="20"/>
                <w:szCs w:val="20"/>
                <w:lang w:eastAsia="en-US"/>
              </w:rPr>
              <w:t>Fortalecimiento de la formación a lo largo de la vida: educación continua en modalidad abierta y a distancia.</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449"/>
        </w:trPr>
        <w:tc>
          <w:tcPr>
            <w:tcW w:w="6646" w:type="dxa"/>
          </w:tcPr>
          <w:p w:rsidR="00812443" w:rsidRPr="001223B9" w:rsidRDefault="00DB1E7F" w:rsidP="00DB1E7F">
            <w:pPr>
              <w:pStyle w:val="Prrafodelista"/>
              <w:numPr>
                <w:ilvl w:val="1"/>
                <w:numId w:val="11"/>
              </w:numPr>
              <w:autoSpaceDE w:val="0"/>
              <w:autoSpaceDN w:val="0"/>
              <w:adjustRightInd w:val="0"/>
              <w:rPr>
                <w:rFonts w:ascii="Gill Sans MT" w:hAnsi="Gill Sans MT" w:cs="Arial"/>
                <w:sz w:val="20"/>
                <w:szCs w:val="20"/>
              </w:rPr>
            </w:pPr>
            <w:r w:rsidRPr="001223B9">
              <w:rPr>
                <w:rFonts w:ascii="Gill Sans MT" w:eastAsiaTheme="minorHAnsi" w:hAnsi="Gill Sans MT" w:cs="DejaVuSerifCondensed"/>
                <w:sz w:val="20"/>
                <w:szCs w:val="20"/>
                <w:lang w:eastAsia="en-US"/>
              </w:rPr>
              <w:t>Convenios, programas y proyectos de colaboración con los sectores productivo, social y gubernamental (Parques Tecnológicos, Incubadoras de Alta Tecnología).</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257"/>
        </w:trPr>
        <w:tc>
          <w:tcPr>
            <w:tcW w:w="6646" w:type="dxa"/>
          </w:tcPr>
          <w:p w:rsidR="00812443" w:rsidRPr="001223B9" w:rsidRDefault="00DB1E7F" w:rsidP="00DB1E7F">
            <w:pPr>
              <w:numPr>
                <w:ilvl w:val="1"/>
                <w:numId w:val="2"/>
              </w:numPr>
              <w:jc w:val="both"/>
              <w:rPr>
                <w:rFonts w:ascii="Gill Sans MT" w:hAnsi="Gill Sans MT" w:cs="Arial"/>
                <w:sz w:val="20"/>
                <w:szCs w:val="20"/>
              </w:rPr>
            </w:pPr>
            <w:r w:rsidRPr="001223B9">
              <w:rPr>
                <w:rFonts w:ascii="Gill Sans MT" w:eastAsiaTheme="minorHAnsi" w:hAnsi="Gill Sans MT" w:cs="DejaVuSerifCondensed"/>
                <w:sz w:val="20"/>
                <w:szCs w:val="20"/>
                <w:lang w:eastAsia="en-US"/>
              </w:rPr>
              <w:t>Transferencia tecnológica y del conocimiento (Oficinas de Transferencias de Resultados de Investigación).</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214"/>
        </w:trPr>
        <w:tc>
          <w:tcPr>
            <w:tcW w:w="6646" w:type="dxa"/>
          </w:tcPr>
          <w:p w:rsidR="00812443" w:rsidRPr="001223B9" w:rsidRDefault="00DB1E7F" w:rsidP="00DB1E7F">
            <w:pPr>
              <w:pStyle w:val="Prrafodelista"/>
              <w:numPr>
                <w:ilvl w:val="1"/>
                <w:numId w:val="11"/>
              </w:numPr>
              <w:autoSpaceDE w:val="0"/>
              <w:autoSpaceDN w:val="0"/>
              <w:adjustRightInd w:val="0"/>
              <w:rPr>
                <w:rFonts w:ascii="Gill Sans MT" w:hAnsi="Gill Sans MT" w:cs="Arial"/>
                <w:sz w:val="20"/>
                <w:szCs w:val="20"/>
              </w:rPr>
            </w:pPr>
            <w:r w:rsidRPr="001223B9">
              <w:rPr>
                <w:rFonts w:ascii="Gill Sans MT" w:eastAsiaTheme="minorHAnsi" w:hAnsi="Gill Sans MT" w:cs="DejaVuSerifCondensed"/>
                <w:sz w:val="20"/>
                <w:szCs w:val="20"/>
                <w:lang w:eastAsia="en-US"/>
              </w:rPr>
              <w:t xml:space="preserve">Servicios que brinda la DES a la </w:t>
            </w:r>
            <w:proofErr w:type="gramStart"/>
            <w:r w:rsidRPr="001223B9">
              <w:rPr>
                <w:rFonts w:ascii="Gill Sans MT" w:eastAsiaTheme="minorHAnsi" w:hAnsi="Gill Sans MT" w:cs="DejaVuSerifCondensed"/>
                <w:sz w:val="20"/>
                <w:szCs w:val="20"/>
                <w:lang w:eastAsia="en-US"/>
              </w:rPr>
              <w:t>sociedad(</w:t>
            </w:r>
            <w:proofErr w:type="gramEnd"/>
            <w:r w:rsidRPr="001223B9">
              <w:rPr>
                <w:rFonts w:ascii="Gill Sans MT" w:eastAsiaTheme="minorHAnsi" w:hAnsi="Gill Sans MT" w:cs="DejaVuSerifCondensed"/>
                <w:sz w:val="20"/>
                <w:szCs w:val="20"/>
                <w:lang w:eastAsia="en-US"/>
              </w:rPr>
              <w:t>laboratorios, elaboración de proyectos, asesorías técnicas, realización de estudios, entre otros).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285"/>
        </w:trPr>
        <w:tc>
          <w:tcPr>
            <w:tcW w:w="6646" w:type="dxa"/>
          </w:tcPr>
          <w:p w:rsidR="00812443" w:rsidRPr="001223B9" w:rsidRDefault="00DB1E7F" w:rsidP="008D6896">
            <w:pPr>
              <w:numPr>
                <w:ilvl w:val="1"/>
                <w:numId w:val="2"/>
              </w:numPr>
              <w:jc w:val="both"/>
              <w:rPr>
                <w:rFonts w:ascii="Gill Sans MT" w:hAnsi="Gill Sans MT" w:cs="Arial"/>
                <w:sz w:val="20"/>
                <w:szCs w:val="20"/>
              </w:rPr>
            </w:pPr>
            <w:r w:rsidRPr="001223B9">
              <w:rPr>
                <w:rFonts w:ascii="Gill Sans MT" w:eastAsiaTheme="minorHAnsi" w:hAnsi="Gill Sans MT" w:cs="DejaVuSerifCondensed"/>
                <w:sz w:val="20"/>
                <w:szCs w:val="20"/>
                <w:lang w:eastAsia="en-US"/>
              </w:rPr>
              <w:t>Elaboración de estudios de egresados y empleadores, análisis y uso de los resultados.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299"/>
        </w:trPr>
        <w:tc>
          <w:tcPr>
            <w:tcW w:w="6646" w:type="dxa"/>
          </w:tcPr>
          <w:p w:rsidR="00812443" w:rsidRPr="001223B9" w:rsidRDefault="00DB1E7F" w:rsidP="00DB1E7F">
            <w:pPr>
              <w:pStyle w:val="Prrafodelista"/>
              <w:numPr>
                <w:ilvl w:val="1"/>
                <w:numId w:val="2"/>
              </w:numPr>
              <w:autoSpaceDE w:val="0"/>
              <w:autoSpaceDN w:val="0"/>
              <w:adjustRightInd w:val="0"/>
              <w:rPr>
                <w:rFonts w:ascii="Gill Sans MT" w:hAnsi="Gill Sans MT" w:cs="Arial"/>
                <w:sz w:val="20"/>
                <w:szCs w:val="20"/>
              </w:rPr>
            </w:pPr>
            <w:r w:rsidRPr="001223B9">
              <w:rPr>
                <w:rFonts w:ascii="Gill Sans MT" w:eastAsiaTheme="minorHAnsi" w:hAnsi="Gill Sans MT" w:cs="DejaVuSerifCondensed"/>
                <w:sz w:val="20"/>
                <w:szCs w:val="20"/>
                <w:lang w:eastAsia="en-US"/>
              </w:rPr>
              <w:t>Capacidad de la DES para para promover y dar seguimiento a la vinculación (marco normativo, Consejo Institucional de Vinculación, oficina y gestores de vinculación, así como elaboración de catálogos de servicios).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470"/>
        </w:trPr>
        <w:tc>
          <w:tcPr>
            <w:tcW w:w="6646" w:type="dxa"/>
          </w:tcPr>
          <w:p w:rsidR="00812443" w:rsidRPr="001223B9" w:rsidRDefault="00DB1E7F" w:rsidP="008D6896">
            <w:pPr>
              <w:numPr>
                <w:ilvl w:val="1"/>
                <w:numId w:val="2"/>
              </w:numPr>
              <w:jc w:val="both"/>
              <w:rPr>
                <w:rFonts w:ascii="Gill Sans MT" w:hAnsi="Gill Sans MT" w:cs="Arial"/>
                <w:sz w:val="20"/>
                <w:szCs w:val="20"/>
              </w:rPr>
            </w:pPr>
            <w:r w:rsidRPr="001223B9">
              <w:rPr>
                <w:rFonts w:ascii="Gill Sans MT" w:eastAsiaTheme="minorHAnsi" w:hAnsi="Gill Sans MT" w:cs="DejaVuSerifCondensed"/>
                <w:sz w:val="20"/>
                <w:szCs w:val="20"/>
                <w:lang w:eastAsia="en-US"/>
              </w:rPr>
              <w:t>Análisis de posicionamiento de la universidad en materia de vinculación</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463"/>
        </w:trPr>
        <w:tc>
          <w:tcPr>
            <w:tcW w:w="6646" w:type="dxa"/>
          </w:tcPr>
          <w:p w:rsidR="00812443" w:rsidRPr="001223B9" w:rsidRDefault="00DB1E7F" w:rsidP="008D6896">
            <w:pPr>
              <w:numPr>
                <w:ilvl w:val="1"/>
                <w:numId w:val="2"/>
              </w:numPr>
              <w:jc w:val="both"/>
              <w:rPr>
                <w:rFonts w:ascii="Gill Sans MT" w:hAnsi="Gill Sans MT" w:cs="Arial"/>
                <w:sz w:val="20"/>
                <w:szCs w:val="20"/>
              </w:rPr>
            </w:pPr>
            <w:r w:rsidRPr="001223B9">
              <w:rPr>
                <w:rFonts w:ascii="Gill Sans MT" w:eastAsiaTheme="minorHAnsi" w:hAnsi="Gill Sans MT" w:cs="DejaVuSerifCondensed"/>
                <w:sz w:val="20"/>
                <w:szCs w:val="20"/>
                <w:lang w:eastAsia="en-US"/>
              </w:rPr>
              <w:lastRenderedPageBreak/>
              <w:t>Esquemas y modelos de desarrollo de negocios.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456"/>
        </w:trPr>
        <w:tc>
          <w:tcPr>
            <w:tcW w:w="6646" w:type="dxa"/>
          </w:tcPr>
          <w:p w:rsidR="00812443" w:rsidRPr="001223B9" w:rsidRDefault="00DB1E7F" w:rsidP="008D6896">
            <w:pPr>
              <w:numPr>
                <w:ilvl w:val="1"/>
                <w:numId w:val="2"/>
              </w:numPr>
              <w:jc w:val="both"/>
              <w:rPr>
                <w:rFonts w:ascii="Gill Sans MT" w:hAnsi="Gill Sans MT" w:cs="Arial"/>
                <w:sz w:val="20"/>
                <w:szCs w:val="20"/>
              </w:rPr>
            </w:pPr>
            <w:r w:rsidRPr="001223B9">
              <w:rPr>
                <w:rFonts w:ascii="Gill Sans MT" w:eastAsiaTheme="minorHAnsi" w:hAnsi="Gill Sans MT" w:cs="DejaVuSerifCondensed"/>
                <w:sz w:val="20"/>
                <w:szCs w:val="20"/>
                <w:lang w:eastAsia="en-US"/>
              </w:rPr>
              <w:t>Fortalecimiento de la capacidad de investigación participativa en áreas estratégicas del conocimiento.</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470"/>
        </w:trPr>
        <w:tc>
          <w:tcPr>
            <w:tcW w:w="6646" w:type="dxa"/>
          </w:tcPr>
          <w:p w:rsidR="00812443" w:rsidRPr="001223B9" w:rsidRDefault="00812443" w:rsidP="008D6896">
            <w:pPr>
              <w:numPr>
                <w:ilvl w:val="1"/>
                <w:numId w:val="2"/>
              </w:numPr>
              <w:jc w:val="both"/>
              <w:rPr>
                <w:rFonts w:ascii="Gill Sans MT" w:hAnsi="Gill Sans MT" w:cs="Arial"/>
                <w:sz w:val="20"/>
                <w:szCs w:val="20"/>
              </w:rPr>
            </w:pPr>
            <w:r w:rsidRPr="001223B9">
              <w:rPr>
                <w:rFonts w:ascii="Gill Sans MT" w:hAnsi="Gill Sans MT" w:cs="Arial"/>
                <w:sz w:val="20"/>
                <w:szCs w:val="20"/>
              </w:rPr>
              <w:t>Promoción y difusión de la enseñanza de la ciencia y sus aplicaciones.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536"/>
        </w:trPr>
        <w:tc>
          <w:tcPr>
            <w:tcW w:w="6646" w:type="dxa"/>
          </w:tcPr>
          <w:p w:rsidR="00812443" w:rsidRPr="001223B9" w:rsidRDefault="00812443" w:rsidP="00DB1E7F">
            <w:pPr>
              <w:numPr>
                <w:ilvl w:val="1"/>
                <w:numId w:val="2"/>
              </w:numPr>
              <w:jc w:val="both"/>
              <w:rPr>
                <w:rFonts w:ascii="Gill Sans MT" w:hAnsi="Gill Sans MT" w:cs="Arial"/>
                <w:sz w:val="20"/>
                <w:szCs w:val="20"/>
              </w:rPr>
            </w:pPr>
            <w:r w:rsidRPr="001223B9">
              <w:rPr>
                <w:rFonts w:ascii="Gill Sans MT" w:hAnsi="Gill Sans MT" w:cs="Arial"/>
                <w:sz w:val="20"/>
                <w:szCs w:val="20"/>
              </w:rPr>
              <w:t>Incremento de ingresos propios por actividades de vinculación con el entorno social y productivo.</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509"/>
        </w:trPr>
        <w:tc>
          <w:tcPr>
            <w:tcW w:w="6646" w:type="dxa"/>
          </w:tcPr>
          <w:p w:rsidR="00812443" w:rsidRPr="001223B9" w:rsidRDefault="00812443" w:rsidP="008D6896">
            <w:pPr>
              <w:numPr>
                <w:ilvl w:val="1"/>
                <w:numId w:val="2"/>
              </w:numPr>
              <w:jc w:val="both"/>
              <w:rPr>
                <w:rFonts w:ascii="Gill Sans MT" w:hAnsi="Gill Sans MT" w:cs="Arial"/>
                <w:sz w:val="20"/>
                <w:szCs w:val="20"/>
              </w:rPr>
            </w:pPr>
            <w:r w:rsidRPr="001223B9">
              <w:rPr>
                <w:rFonts w:ascii="Gill Sans MT" w:hAnsi="Gill Sans MT" w:cs="Arial"/>
                <w:sz w:val="20"/>
                <w:szCs w:val="20"/>
              </w:rPr>
              <w:t>Proyectos y difusión encaminados al cuidado del medio ambiente, la salud, los valores democráticos, etcétera.</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57"/>
        </w:trPr>
        <w:tc>
          <w:tcPr>
            <w:tcW w:w="6646" w:type="dxa"/>
          </w:tcPr>
          <w:p w:rsidR="00812443" w:rsidRPr="001223B9" w:rsidRDefault="00812443" w:rsidP="008D6896">
            <w:pPr>
              <w:numPr>
                <w:ilvl w:val="0"/>
                <w:numId w:val="10"/>
              </w:numPr>
              <w:jc w:val="both"/>
              <w:rPr>
                <w:rFonts w:ascii="Gill Sans MT" w:hAnsi="Gill Sans MT" w:cs="Arial"/>
                <w:sz w:val="20"/>
                <w:szCs w:val="20"/>
              </w:rPr>
            </w:pPr>
            <w:r w:rsidRPr="001223B9">
              <w:rPr>
                <w:rFonts w:ascii="Gill Sans MT" w:hAnsi="Gill Sans MT" w:cs="Arial"/>
                <w:sz w:val="20"/>
                <w:szCs w:val="20"/>
              </w:rPr>
              <w:t>Tabla de principales acciones de vinculación</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tcPr>
          <w:p w:rsidR="00812443" w:rsidRPr="001223B9" w:rsidRDefault="00812443" w:rsidP="008D6896">
            <w:pPr>
              <w:numPr>
                <w:ilvl w:val="0"/>
                <w:numId w:val="3"/>
              </w:numPr>
              <w:jc w:val="both"/>
              <w:rPr>
                <w:rFonts w:ascii="Gill Sans MT" w:hAnsi="Gill Sans MT" w:cs="Arial"/>
                <w:sz w:val="20"/>
                <w:szCs w:val="20"/>
              </w:rPr>
            </w:pPr>
            <w:r w:rsidRPr="001223B9">
              <w:rPr>
                <w:rFonts w:ascii="Gill Sans MT" w:hAnsi="Gill Sans MT" w:cs="Arial"/>
                <w:sz w:val="20"/>
                <w:szCs w:val="20"/>
              </w:rPr>
              <w:t>Análisis de la atención de las recomendaciones de los CIEES y los organismos reconocidos por el COPAES  a los PE (Anexo X</w:t>
            </w:r>
            <w:r w:rsidR="009E14BC">
              <w:rPr>
                <w:rFonts w:ascii="Gill Sans MT" w:hAnsi="Gill Sans MT" w:cs="Arial"/>
                <w:sz w:val="20"/>
                <w:szCs w:val="20"/>
              </w:rPr>
              <w:t>I</w:t>
            </w:r>
            <w:r w:rsidRPr="001223B9">
              <w:rPr>
                <w:rFonts w:ascii="Gill Sans MT" w:hAnsi="Gill Sans MT" w:cs="Arial"/>
                <w:sz w:val="20"/>
                <w:szCs w:val="20"/>
              </w:rPr>
              <w:t>V)</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tcPr>
          <w:p w:rsidR="00812443" w:rsidRPr="001223B9" w:rsidRDefault="00812443" w:rsidP="00DB1E7F">
            <w:pPr>
              <w:numPr>
                <w:ilvl w:val="1"/>
                <w:numId w:val="3"/>
              </w:numPr>
              <w:jc w:val="both"/>
              <w:rPr>
                <w:rFonts w:ascii="Gill Sans MT" w:hAnsi="Gill Sans MT" w:cs="Arial"/>
                <w:sz w:val="20"/>
                <w:szCs w:val="20"/>
              </w:rPr>
            </w:pPr>
            <w:r w:rsidRPr="001223B9">
              <w:rPr>
                <w:rFonts w:ascii="Gill Sans MT" w:hAnsi="Gill Sans MT" w:cs="Arial"/>
                <w:sz w:val="20"/>
                <w:szCs w:val="20"/>
              </w:rPr>
              <w:t>Tabla síntesis de la atención a las recomendaciones académicas de los CIEES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tcPr>
          <w:p w:rsidR="00812443" w:rsidRPr="001223B9" w:rsidRDefault="00812443" w:rsidP="00DB1E7F">
            <w:pPr>
              <w:numPr>
                <w:ilvl w:val="1"/>
                <w:numId w:val="3"/>
              </w:numPr>
              <w:jc w:val="both"/>
              <w:rPr>
                <w:rFonts w:ascii="Gill Sans MT" w:hAnsi="Gill Sans MT" w:cs="Arial"/>
                <w:sz w:val="20"/>
                <w:szCs w:val="20"/>
              </w:rPr>
            </w:pPr>
            <w:r w:rsidRPr="001223B9">
              <w:rPr>
                <w:rFonts w:ascii="Gill Sans MT" w:hAnsi="Gill Sans MT" w:cs="Arial"/>
                <w:sz w:val="20"/>
                <w:szCs w:val="20"/>
              </w:rPr>
              <w:t>Tabla Síntesis de las atención a las recomendaciones académicas de los organismos reconocidos por COPAES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tcPr>
          <w:p w:rsidR="00812443" w:rsidRPr="001223B9" w:rsidRDefault="00812443" w:rsidP="008D6896">
            <w:pPr>
              <w:numPr>
                <w:ilvl w:val="0"/>
                <w:numId w:val="3"/>
              </w:numPr>
              <w:jc w:val="both"/>
              <w:rPr>
                <w:rFonts w:ascii="Gill Sans MT" w:hAnsi="Gill Sans MT" w:cs="Arial"/>
                <w:sz w:val="20"/>
                <w:szCs w:val="20"/>
              </w:rPr>
            </w:pPr>
            <w:r w:rsidRPr="001223B9">
              <w:rPr>
                <w:rFonts w:ascii="Gill Sans MT" w:hAnsi="Gill Sans MT" w:cs="Arial"/>
                <w:sz w:val="20"/>
                <w:szCs w:val="20"/>
              </w:rPr>
              <w:t>Análisis de los resultados de los exámenes generales para el egreso de la licenciatura (EGEL-CENEVAL) (Anexo X</w:t>
            </w:r>
            <w:r w:rsidR="009E14BC">
              <w:rPr>
                <w:rFonts w:ascii="Gill Sans MT" w:hAnsi="Gill Sans MT" w:cs="Arial"/>
                <w:sz w:val="20"/>
                <w:szCs w:val="20"/>
              </w:rPr>
              <w:t>I</w:t>
            </w:r>
            <w:r w:rsidRPr="001223B9">
              <w:rPr>
                <w:rFonts w:ascii="Gill Sans MT" w:hAnsi="Gill Sans MT" w:cs="Arial"/>
                <w:sz w:val="20"/>
                <w:szCs w:val="20"/>
              </w:rPr>
              <w:t>V)</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tcPr>
          <w:p w:rsidR="00812443" w:rsidRPr="001223B9" w:rsidRDefault="00812443" w:rsidP="00DB1E7F">
            <w:pPr>
              <w:numPr>
                <w:ilvl w:val="1"/>
                <w:numId w:val="3"/>
              </w:numPr>
              <w:jc w:val="both"/>
              <w:rPr>
                <w:rFonts w:ascii="Gill Sans MT" w:hAnsi="Gill Sans MT" w:cs="Arial"/>
                <w:sz w:val="20"/>
                <w:szCs w:val="20"/>
              </w:rPr>
            </w:pPr>
            <w:r w:rsidRPr="001223B9">
              <w:rPr>
                <w:rFonts w:ascii="Gill Sans MT" w:hAnsi="Gill Sans MT" w:cs="Arial"/>
                <w:sz w:val="20"/>
                <w:szCs w:val="20"/>
              </w:rPr>
              <w:t>Tabla resumen de alumnos que presentaron EGEL del CENEVAL y resultados obtenidos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1133"/>
        </w:trPr>
        <w:tc>
          <w:tcPr>
            <w:tcW w:w="6646" w:type="dxa"/>
          </w:tcPr>
          <w:p w:rsidR="00812443" w:rsidRPr="001223B9" w:rsidRDefault="00812443" w:rsidP="008D6896">
            <w:pPr>
              <w:numPr>
                <w:ilvl w:val="0"/>
                <w:numId w:val="3"/>
              </w:numPr>
              <w:jc w:val="both"/>
              <w:rPr>
                <w:rFonts w:ascii="Gill Sans MT" w:hAnsi="Gill Sans MT" w:cs="Arial"/>
                <w:sz w:val="20"/>
                <w:szCs w:val="20"/>
              </w:rPr>
            </w:pPr>
            <w:r w:rsidRPr="001223B9">
              <w:rPr>
                <w:rFonts w:ascii="Gill Sans MT" w:hAnsi="Gill Sans MT" w:cs="Arial"/>
                <w:sz w:val="20"/>
                <w:szCs w:val="20"/>
              </w:rPr>
              <w:t>Análisis de la capacidad académica (Anexo V A) en cuanto a:</w:t>
            </w:r>
          </w:p>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Evolución de los indicadores de capacidad académica (nivel de habilitación de la planta académica, PTC con perfil deseable, PTC adscritos al SNI, evolución de los CA).</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506"/>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Nivel de habilitación de los PTC en el área disciplinar de su desempeño.</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442"/>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Detalle del grado de desarrollo de los Cuerpos Académicos (Ver Anexo VI)</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1347"/>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Análisis del programa de formación, capacitación y actualización del personal académico (talleres, cursos y diplomados sobre métodos didácticos, tutorías, enfoques centrados en el aprendizaje del estudiante, modelo educativo, entre otros) y su impacto en la atención y formación integral de los estudiantes.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314"/>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Eficacia de las políticas y estrategias implementadas.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478"/>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Principales problemas que han impedido una evolución más favorable de los indicadores.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314"/>
        </w:trPr>
        <w:tc>
          <w:tcPr>
            <w:tcW w:w="6646" w:type="dxa"/>
          </w:tcPr>
          <w:p w:rsidR="00812443" w:rsidRPr="001223B9" w:rsidRDefault="00812443" w:rsidP="008D6896">
            <w:pPr>
              <w:jc w:val="both"/>
              <w:rPr>
                <w:rFonts w:ascii="Gill Sans MT" w:hAnsi="Gill Sans MT" w:cs="Arial"/>
                <w:sz w:val="20"/>
                <w:szCs w:val="20"/>
              </w:rPr>
            </w:pPr>
            <w:r w:rsidRPr="001223B9">
              <w:rPr>
                <w:rFonts w:ascii="Gill Sans MT" w:hAnsi="Gill Sans MT" w:cs="Arial"/>
                <w:sz w:val="20"/>
                <w:szCs w:val="20"/>
              </w:rPr>
              <w:t>Principales conclusiones de los impactos de capacidad académica.</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tcPr>
          <w:p w:rsidR="00812443" w:rsidRPr="001223B9" w:rsidRDefault="00812443" w:rsidP="008D6896">
            <w:pPr>
              <w:numPr>
                <w:ilvl w:val="0"/>
                <w:numId w:val="4"/>
              </w:numPr>
              <w:jc w:val="both"/>
              <w:rPr>
                <w:rFonts w:ascii="Gill Sans MT" w:hAnsi="Gill Sans MT" w:cs="Arial"/>
                <w:sz w:val="20"/>
                <w:szCs w:val="20"/>
              </w:rPr>
            </w:pPr>
            <w:r w:rsidRPr="001223B9">
              <w:rPr>
                <w:rFonts w:ascii="Gill Sans MT" w:hAnsi="Gill Sans MT" w:cs="Arial"/>
                <w:sz w:val="20"/>
                <w:szCs w:val="20"/>
              </w:rPr>
              <w:t>Tabla resumen de avance en capacidad académica (PTC y CA)</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720"/>
        </w:trPr>
        <w:tc>
          <w:tcPr>
            <w:tcW w:w="6646" w:type="dxa"/>
          </w:tcPr>
          <w:p w:rsidR="00812443" w:rsidRPr="001223B9" w:rsidRDefault="00812443" w:rsidP="007144ED">
            <w:pPr>
              <w:pStyle w:val="Prrafodelista"/>
              <w:numPr>
                <w:ilvl w:val="0"/>
                <w:numId w:val="20"/>
              </w:numPr>
              <w:jc w:val="both"/>
              <w:rPr>
                <w:rFonts w:ascii="Gill Sans MT" w:hAnsi="Gill Sans MT" w:cs="Arial"/>
                <w:sz w:val="20"/>
                <w:szCs w:val="20"/>
              </w:rPr>
            </w:pPr>
            <w:r w:rsidRPr="001223B9">
              <w:rPr>
                <w:rFonts w:ascii="Gill Sans MT" w:hAnsi="Gill Sans MT" w:cs="Arial"/>
                <w:sz w:val="20"/>
                <w:szCs w:val="20"/>
              </w:rPr>
              <w:t>Análisis de la competitividad académica (Anexo V B) en cuanto a:</w:t>
            </w:r>
          </w:p>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Evolución de los indicadores de PE y matrícula de TSU y Licenciatura.</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250"/>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Indicadores de PE y matrícula de posgrado.</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514"/>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Evolución de los indicadores de egresados registrados en la DGP.</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471"/>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Resultado de la aplicación de los exámenes EGEL y/o EGETSU aplicados por el CENEVAL</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229"/>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Eficacia de las políticas y estrategias implementadas.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335"/>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Principales problemas que han impedido una evolución más favorable de los indicadores.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349"/>
        </w:trPr>
        <w:tc>
          <w:tcPr>
            <w:tcW w:w="6646" w:type="dxa"/>
          </w:tcPr>
          <w:p w:rsidR="00812443" w:rsidRPr="001223B9" w:rsidRDefault="00812443" w:rsidP="008D6896">
            <w:pPr>
              <w:jc w:val="both"/>
              <w:rPr>
                <w:rFonts w:ascii="Gill Sans MT" w:hAnsi="Gill Sans MT" w:cs="Arial"/>
                <w:sz w:val="20"/>
                <w:szCs w:val="20"/>
              </w:rPr>
            </w:pPr>
            <w:r w:rsidRPr="001223B9">
              <w:rPr>
                <w:rFonts w:ascii="Gill Sans MT" w:hAnsi="Gill Sans MT" w:cs="Arial"/>
                <w:sz w:val="20"/>
                <w:szCs w:val="20"/>
              </w:rPr>
              <w:t>Principales conclusiones de los impactos de competitividad académica.</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tcPr>
          <w:p w:rsidR="00812443" w:rsidRPr="001223B9" w:rsidRDefault="00812443" w:rsidP="008D6896">
            <w:pPr>
              <w:numPr>
                <w:ilvl w:val="0"/>
                <w:numId w:val="4"/>
              </w:numPr>
              <w:jc w:val="both"/>
              <w:rPr>
                <w:rFonts w:ascii="Gill Sans MT" w:hAnsi="Gill Sans MT" w:cs="Arial"/>
                <w:sz w:val="20"/>
                <w:szCs w:val="20"/>
              </w:rPr>
            </w:pPr>
            <w:r w:rsidRPr="001223B9">
              <w:rPr>
                <w:rFonts w:ascii="Gill Sans MT" w:hAnsi="Gill Sans MT" w:cs="Arial"/>
                <w:sz w:val="20"/>
                <w:szCs w:val="20"/>
              </w:rPr>
              <w:lastRenderedPageBreak/>
              <w:t>Tabla resumen de avance en competitividad académica (programas educativos)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tcPr>
          <w:p w:rsidR="00812443" w:rsidRPr="001223B9" w:rsidRDefault="00812443" w:rsidP="007144ED">
            <w:pPr>
              <w:pStyle w:val="Prrafodelista"/>
              <w:numPr>
                <w:ilvl w:val="0"/>
                <w:numId w:val="20"/>
              </w:numPr>
              <w:jc w:val="both"/>
              <w:rPr>
                <w:rFonts w:ascii="Gill Sans MT" w:hAnsi="Gill Sans MT" w:cs="Arial"/>
                <w:sz w:val="20"/>
                <w:szCs w:val="20"/>
              </w:rPr>
            </w:pPr>
            <w:r w:rsidRPr="001223B9">
              <w:rPr>
                <w:rFonts w:ascii="Gill Sans MT" w:hAnsi="Gill Sans MT" w:cs="Arial"/>
                <w:sz w:val="20"/>
                <w:szCs w:val="20"/>
              </w:rPr>
              <w:t>Análisis de la relación entre capacidad y competitividad académica (Relación entre los indicadores de la capacidad y la competitividad académica)</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tcPr>
          <w:p w:rsidR="00812443" w:rsidRPr="001223B9" w:rsidRDefault="00812443" w:rsidP="007144ED">
            <w:pPr>
              <w:pStyle w:val="Prrafodelista"/>
              <w:numPr>
                <w:ilvl w:val="0"/>
                <w:numId w:val="20"/>
              </w:numPr>
              <w:jc w:val="both"/>
              <w:rPr>
                <w:rFonts w:ascii="Gill Sans MT" w:hAnsi="Gill Sans MT" w:cs="Arial"/>
                <w:sz w:val="20"/>
                <w:szCs w:val="20"/>
              </w:rPr>
            </w:pPr>
            <w:r w:rsidRPr="001223B9">
              <w:rPr>
                <w:rFonts w:ascii="Gill Sans MT" w:hAnsi="Gill Sans MT" w:cs="Arial"/>
                <w:sz w:val="20"/>
                <w:szCs w:val="20"/>
              </w:rPr>
              <w:t>Análisis de brechas de capacidad y competitividad académicas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278"/>
        </w:trPr>
        <w:tc>
          <w:tcPr>
            <w:tcW w:w="6646" w:type="dxa"/>
          </w:tcPr>
          <w:p w:rsidR="00812443" w:rsidRPr="001223B9" w:rsidRDefault="00812443" w:rsidP="007144ED">
            <w:pPr>
              <w:pStyle w:val="Prrafodelista"/>
              <w:numPr>
                <w:ilvl w:val="0"/>
                <w:numId w:val="20"/>
              </w:numPr>
              <w:jc w:val="both"/>
              <w:rPr>
                <w:rFonts w:ascii="Gill Sans MT" w:hAnsi="Gill Sans MT" w:cs="Arial"/>
                <w:sz w:val="20"/>
                <w:szCs w:val="20"/>
              </w:rPr>
            </w:pPr>
            <w:r w:rsidRPr="001223B9">
              <w:rPr>
                <w:rFonts w:ascii="Gill Sans MT" w:hAnsi="Gill Sans MT" w:cs="Arial"/>
                <w:sz w:val="20"/>
                <w:szCs w:val="20"/>
              </w:rPr>
              <w:t>Análisis de la atención y formación integral del estudiante en cuanto a:</w:t>
            </w:r>
          </w:p>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Programas de tutorías y acompañamiento académico del estudiante</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264"/>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Programas para que el alumno termine sus estudios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235"/>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Programas de apoyo para la regularización del estudiante</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627"/>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Promoción de actividades de integración del estudiante de nuevo ingreso</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642"/>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Atención y prevención a las adicciones a través del impulso de programas de detección y canalización a los sectores especializados.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663"/>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Simplificación de los procedimientos y de los trámites necesarios para la titulación, registro de título y expedición de cédula profesional.</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514"/>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Apoyo para facilitar la transición de la educación superior al empleo o al posgrado.</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670"/>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Estudios para conocer mejor las características, necesidades, circunstancias y expectativas de los estudiantes, para desarrollar políticas de atención.</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521"/>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Mecanismos (objetivos equitativos y transparentes) de selección y admisión de nuevos estudiantes.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250"/>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 xml:space="preserve">Desarrollo de habilidades en el manejo de las </w:t>
            </w:r>
            <w:proofErr w:type="spellStart"/>
            <w:r w:rsidRPr="001223B9">
              <w:rPr>
                <w:rFonts w:ascii="Gill Sans MT" w:hAnsi="Gill Sans MT" w:cs="Arial"/>
                <w:sz w:val="20"/>
                <w:szCs w:val="20"/>
              </w:rPr>
              <w:t>TIC’s</w:t>
            </w:r>
            <w:proofErr w:type="spellEnd"/>
            <w:r w:rsidRPr="001223B9">
              <w:rPr>
                <w:rFonts w:ascii="Gill Sans MT" w:hAnsi="Gill Sans MT" w:cs="Arial"/>
                <w:sz w:val="20"/>
                <w:szCs w:val="20"/>
              </w:rPr>
              <w:t>.</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963"/>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Realización de actividades que fomenten el aprecio por las diversas expresiones de la cultura y el arte que propicien la convivencia con los diferentes actores sociales.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485"/>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Fomentar las actividades deportivas como parte fundamental de una formación integral.</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506"/>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Impulsar la creación de una cultura del cuidado de la salud por medio de campañas informativas.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642"/>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La enseñanza de una segunda lengua (principalmente el inglés), como parte de los planes de estudios y propiciar su inclusión como requisito de egreso.</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449"/>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Fomentar el desarrollo de competencias genéricas del estudiante.</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813"/>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Desarrollar en el estudiante capacidades para la vida, actitudes favorables para “aprender a aprender” y habilidades para desempeñarse de manera productiva y competitiva en el mercado laboral.</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891"/>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Impulsar la formación de los valores democráticos, el respeto a los derechos humanos, el medio ambiente, la justicia, la honestidad y en general fomentar la ciudadanía responsable (Ver Anexo VII).</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285"/>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La satisfacción del estudiante y del egresado.</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464"/>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Aceptación en el mercado laboral y mejora de los salarios del egresado.</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278"/>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Avances en la permanencia, egreso y titulación oportuna.</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513"/>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lastRenderedPageBreak/>
              <w:t>Resultados favorables en la presentación del EGETSU y/o EGEL del CENEVAL.</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463"/>
        </w:trPr>
        <w:tc>
          <w:tcPr>
            <w:tcW w:w="6646" w:type="dxa"/>
          </w:tcPr>
          <w:p w:rsidR="00812443" w:rsidRPr="001223B9" w:rsidRDefault="00812443" w:rsidP="007144ED">
            <w:pPr>
              <w:pStyle w:val="Prrafodelista"/>
              <w:numPr>
                <w:ilvl w:val="0"/>
                <w:numId w:val="21"/>
              </w:numPr>
              <w:jc w:val="both"/>
              <w:rPr>
                <w:rFonts w:ascii="Gill Sans MT" w:hAnsi="Gill Sans MT" w:cs="Arial"/>
                <w:sz w:val="20"/>
                <w:szCs w:val="20"/>
              </w:rPr>
            </w:pPr>
            <w:r w:rsidRPr="001223B9">
              <w:rPr>
                <w:rFonts w:ascii="Gill Sans MT" w:hAnsi="Gill Sans MT" w:cs="Arial"/>
                <w:sz w:val="20"/>
                <w:szCs w:val="20"/>
              </w:rPr>
              <w:t>Análisis de solicitud de plazas de PTC (</w:t>
            </w:r>
            <w:proofErr w:type="spellStart"/>
            <w:r w:rsidRPr="001223B9">
              <w:rPr>
                <w:rFonts w:ascii="Gill Sans MT" w:hAnsi="Gill Sans MT" w:cs="Arial"/>
                <w:sz w:val="20"/>
                <w:szCs w:val="20"/>
              </w:rPr>
              <w:t>AnexoXI</w:t>
            </w:r>
            <w:proofErr w:type="spellEnd"/>
            <w:r w:rsidRPr="001223B9">
              <w:rPr>
                <w:rFonts w:ascii="Gill Sans MT" w:hAnsi="Gill Sans MT" w:cs="Arial"/>
                <w:sz w:val="20"/>
                <w:szCs w:val="20"/>
              </w:rPr>
              <w:t>) considerando:</w:t>
            </w:r>
          </w:p>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Número de PTC existentes.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264"/>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Número de estudiantes existentes.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271"/>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Relación de Alumnos/PTC existente.</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1403"/>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Relación Alumno/PTC de acuerdo al indicador establecido por la ANUIES para cada PE, y de acuerdo al tipo de área de conocimiento de la DES (para mayor referencia en este punto se sugiere consultar el documento Programa de Mejoramiento del Profesorado (PROMEP) de las Instituciones de Educación Superior).</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200"/>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Plazas de PTC que están ocupadas por jubilados.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228"/>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Plazas otorgadas en el periodo 1996-2011.</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499"/>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Plazas de PTC justificadas ante PROMEP, de las otorgadas en el periodo 1996-2011.</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699"/>
        </w:trPr>
        <w:tc>
          <w:tcPr>
            <w:tcW w:w="6646" w:type="dxa"/>
          </w:tcPr>
          <w:p w:rsidR="00812443" w:rsidRPr="001223B9" w:rsidRDefault="00812443" w:rsidP="008D6896">
            <w:pPr>
              <w:numPr>
                <w:ilvl w:val="1"/>
                <w:numId w:val="4"/>
              </w:numPr>
              <w:jc w:val="both"/>
              <w:rPr>
                <w:rFonts w:ascii="Gill Sans MT" w:hAnsi="Gill Sans MT" w:cs="Arial"/>
                <w:sz w:val="20"/>
                <w:szCs w:val="20"/>
              </w:rPr>
            </w:pPr>
            <w:r w:rsidRPr="001223B9">
              <w:rPr>
                <w:rFonts w:ascii="Gill Sans MT" w:hAnsi="Gill Sans MT" w:cs="Arial"/>
                <w:sz w:val="20"/>
                <w:szCs w:val="20"/>
              </w:rPr>
              <w:t>Cuerpos Académicos en Formación (CAEF) y en Consolidación (CAEC) que serán fortalecidos con las nuevas plazas.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1417"/>
        </w:trPr>
        <w:tc>
          <w:tcPr>
            <w:tcW w:w="6646" w:type="dxa"/>
          </w:tcPr>
          <w:p w:rsidR="00812443" w:rsidRPr="001223B9" w:rsidRDefault="00812443" w:rsidP="009E14BC">
            <w:pPr>
              <w:numPr>
                <w:ilvl w:val="1"/>
                <w:numId w:val="4"/>
              </w:numPr>
              <w:jc w:val="both"/>
              <w:rPr>
                <w:rFonts w:ascii="Gill Sans MT" w:hAnsi="Gill Sans MT" w:cs="Arial"/>
                <w:sz w:val="20"/>
                <w:szCs w:val="20"/>
              </w:rPr>
            </w:pPr>
            <w:r w:rsidRPr="001223B9">
              <w:rPr>
                <w:rFonts w:ascii="Gill Sans MT" w:hAnsi="Gill Sans MT" w:cs="Arial"/>
                <w:sz w:val="20"/>
                <w:szCs w:val="20"/>
              </w:rPr>
              <w:t>Plazas de PTC solicitadas para 201</w:t>
            </w:r>
            <w:r w:rsidR="009E14BC">
              <w:rPr>
                <w:rFonts w:ascii="Gill Sans MT" w:hAnsi="Gill Sans MT" w:cs="Arial"/>
                <w:sz w:val="20"/>
                <w:szCs w:val="20"/>
              </w:rPr>
              <w:t>4</w:t>
            </w:r>
            <w:r w:rsidRPr="001223B9">
              <w:rPr>
                <w:rFonts w:ascii="Gill Sans MT" w:hAnsi="Gill Sans MT" w:cs="Arial"/>
                <w:sz w:val="20"/>
                <w:szCs w:val="20"/>
              </w:rPr>
              <w:t>-201</w:t>
            </w:r>
            <w:r w:rsidR="009E14BC">
              <w:rPr>
                <w:rFonts w:ascii="Gill Sans MT" w:hAnsi="Gill Sans MT" w:cs="Arial"/>
                <w:sz w:val="20"/>
                <w:szCs w:val="20"/>
              </w:rPr>
              <w:t>5</w:t>
            </w:r>
            <w:r w:rsidRPr="001223B9">
              <w:rPr>
                <w:rFonts w:ascii="Gill Sans MT" w:hAnsi="Gill Sans MT" w:cs="Arial"/>
                <w:sz w:val="20"/>
                <w:szCs w:val="20"/>
              </w:rPr>
              <w:t>, atendiendo a los indicadores establecidos en el Anexo B del documento referido en la viñeta 4. Justificación (pertinencia para el desarrollo de CA, la mejora de los PE, el cierre de brechas de calidad entre PE, la relación de Alumnos/PTC según el área de conocimiento, etcétera).</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tcPr>
          <w:p w:rsidR="00812443" w:rsidRPr="001223B9" w:rsidRDefault="00812443" w:rsidP="008D6896">
            <w:pPr>
              <w:numPr>
                <w:ilvl w:val="0"/>
                <w:numId w:val="4"/>
              </w:numPr>
              <w:autoSpaceDE w:val="0"/>
              <w:autoSpaceDN w:val="0"/>
              <w:adjustRightInd w:val="0"/>
              <w:rPr>
                <w:rFonts w:ascii="Gill Sans MT" w:hAnsi="Gill Sans MT" w:cs="Arial"/>
                <w:sz w:val="20"/>
                <w:szCs w:val="20"/>
              </w:rPr>
            </w:pPr>
            <w:r w:rsidRPr="001223B9">
              <w:rPr>
                <w:rFonts w:ascii="Gill Sans MT" w:hAnsi="Gill Sans MT" w:cs="Arial"/>
                <w:sz w:val="20"/>
                <w:szCs w:val="20"/>
              </w:rPr>
              <w:t>Tabla resumen de planteamiento de solicitud de plazas. Para el llenado del formato se deberá utilizar el Anexo XI.</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tcPr>
          <w:p w:rsidR="00812443" w:rsidRPr="001223B9" w:rsidRDefault="00812443" w:rsidP="007144ED">
            <w:pPr>
              <w:pStyle w:val="Prrafodelista"/>
              <w:numPr>
                <w:ilvl w:val="0"/>
                <w:numId w:val="21"/>
              </w:numPr>
              <w:jc w:val="both"/>
              <w:rPr>
                <w:rFonts w:ascii="Gill Sans MT" w:hAnsi="Gill Sans MT" w:cs="Arial"/>
                <w:sz w:val="20"/>
                <w:szCs w:val="20"/>
              </w:rPr>
            </w:pPr>
            <w:r w:rsidRPr="001223B9">
              <w:rPr>
                <w:rFonts w:ascii="Gill Sans MT" w:hAnsi="Gill Sans MT" w:cs="Arial"/>
                <w:sz w:val="20"/>
                <w:szCs w:val="20"/>
              </w:rPr>
              <w:t>Análisis del cumplimiento de las metas compromiso (Anexo VIII)</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tcPr>
          <w:p w:rsidR="00812443" w:rsidRPr="001223B9" w:rsidRDefault="00812443" w:rsidP="008D6896">
            <w:pPr>
              <w:numPr>
                <w:ilvl w:val="1"/>
                <w:numId w:val="6"/>
              </w:numPr>
              <w:jc w:val="both"/>
              <w:rPr>
                <w:rFonts w:ascii="Gill Sans MT" w:hAnsi="Gill Sans MT" w:cs="Arial"/>
                <w:sz w:val="20"/>
                <w:szCs w:val="20"/>
              </w:rPr>
            </w:pPr>
            <w:r w:rsidRPr="001223B9">
              <w:rPr>
                <w:rFonts w:ascii="Gill Sans MT" w:hAnsi="Gill Sans MT" w:cs="Arial"/>
                <w:sz w:val="20"/>
                <w:szCs w:val="20"/>
              </w:rPr>
              <w:t>Tabla resumen del avance de metas compromisos (para el llenado del formato se deberá utilizar el Anexo VIII)</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tcPr>
          <w:p w:rsidR="00812443" w:rsidRPr="001223B9" w:rsidRDefault="00812443" w:rsidP="008D6896">
            <w:pPr>
              <w:numPr>
                <w:ilvl w:val="0"/>
                <w:numId w:val="6"/>
              </w:numPr>
              <w:jc w:val="both"/>
              <w:rPr>
                <w:rFonts w:ascii="Gill Sans MT" w:hAnsi="Gill Sans MT" w:cs="Arial"/>
                <w:sz w:val="20"/>
                <w:szCs w:val="20"/>
              </w:rPr>
            </w:pPr>
            <w:r w:rsidRPr="001223B9">
              <w:rPr>
                <w:rFonts w:ascii="Gill Sans MT" w:hAnsi="Gill Sans MT" w:cs="Arial"/>
                <w:sz w:val="20"/>
                <w:szCs w:val="20"/>
              </w:rPr>
              <w:t>Síntesis de la autoevaluación académica de la DES (Anexo X</w:t>
            </w:r>
            <w:r w:rsidR="009E14BC">
              <w:rPr>
                <w:rFonts w:ascii="Gill Sans MT" w:hAnsi="Gill Sans MT" w:cs="Arial"/>
                <w:sz w:val="20"/>
                <w:szCs w:val="20"/>
              </w:rPr>
              <w:t>I</w:t>
            </w:r>
            <w:r w:rsidRPr="001223B9">
              <w:rPr>
                <w:rFonts w:ascii="Gill Sans MT" w:hAnsi="Gill Sans MT" w:cs="Arial"/>
                <w:sz w:val="20"/>
                <w:szCs w:val="20"/>
              </w:rPr>
              <w:t>V)</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tcPr>
          <w:p w:rsidR="00812443" w:rsidRPr="001223B9" w:rsidRDefault="00812443" w:rsidP="008D6896">
            <w:pPr>
              <w:numPr>
                <w:ilvl w:val="0"/>
                <w:numId w:val="6"/>
              </w:numPr>
              <w:jc w:val="both"/>
              <w:rPr>
                <w:rFonts w:ascii="Gill Sans MT" w:hAnsi="Gill Sans MT" w:cs="Arial"/>
                <w:sz w:val="20"/>
                <w:szCs w:val="20"/>
              </w:rPr>
            </w:pPr>
            <w:r w:rsidRPr="001223B9">
              <w:rPr>
                <w:rFonts w:ascii="Gill Sans MT" w:hAnsi="Gill Sans MT" w:cs="Arial"/>
                <w:sz w:val="20"/>
                <w:szCs w:val="20"/>
              </w:rPr>
              <w:t>Tabla de principales fortalezas en orden de importancia</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tcPr>
          <w:p w:rsidR="00812443" w:rsidRPr="001223B9" w:rsidRDefault="00812443" w:rsidP="008D6896">
            <w:pPr>
              <w:numPr>
                <w:ilvl w:val="0"/>
                <w:numId w:val="6"/>
              </w:numPr>
              <w:jc w:val="both"/>
              <w:rPr>
                <w:rFonts w:ascii="Gill Sans MT" w:hAnsi="Gill Sans MT" w:cs="Arial"/>
                <w:sz w:val="20"/>
                <w:szCs w:val="20"/>
              </w:rPr>
            </w:pPr>
            <w:r w:rsidRPr="001223B9">
              <w:rPr>
                <w:rFonts w:ascii="Gill Sans MT" w:hAnsi="Gill Sans MT" w:cs="Arial"/>
                <w:sz w:val="20"/>
                <w:szCs w:val="20"/>
              </w:rPr>
              <w:t>Tabla de principales problemas en orden de importancia</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shd w:val="clear" w:color="auto" w:fill="BFBFBF" w:themeFill="background1" w:themeFillShade="BF"/>
          </w:tcPr>
          <w:p w:rsidR="00812443" w:rsidRPr="001223B9" w:rsidRDefault="00812443" w:rsidP="008D6896">
            <w:pPr>
              <w:numPr>
                <w:ilvl w:val="0"/>
                <w:numId w:val="5"/>
              </w:numPr>
              <w:jc w:val="both"/>
              <w:rPr>
                <w:rFonts w:ascii="Gill Sans MT" w:hAnsi="Gill Sans MT" w:cs="Arial"/>
                <w:sz w:val="20"/>
                <w:szCs w:val="20"/>
              </w:rPr>
            </w:pPr>
            <w:r w:rsidRPr="001223B9">
              <w:rPr>
                <w:rFonts w:ascii="Gill Sans MT" w:hAnsi="Gill Sans MT" w:cs="Arial"/>
                <w:sz w:val="20"/>
                <w:szCs w:val="20"/>
              </w:rPr>
              <w:t>Actualización de la planeación en el ámbito de la DES (Máxima 5 cuartillas)</w:t>
            </w:r>
          </w:p>
        </w:tc>
        <w:tc>
          <w:tcPr>
            <w:tcW w:w="719" w:type="dxa"/>
            <w:shd w:val="clear" w:color="auto" w:fill="BFBFBF" w:themeFill="background1" w:themeFillShade="BF"/>
          </w:tcPr>
          <w:p w:rsidR="00812443" w:rsidRPr="001223B9" w:rsidRDefault="00812443" w:rsidP="008D6896">
            <w:pPr>
              <w:jc w:val="both"/>
              <w:rPr>
                <w:rFonts w:ascii="Gill Sans MT" w:hAnsi="Gill Sans MT" w:cs="Arial"/>
                <w:sz w:val="20"/>
                <w:szCs w:val="20"/>
              </w:rPr>
            </w:pPr>
          </w:p>
        </w:tc>
        <w:tc>
          <w:tcPr>
            <w:tcW w:w="540" w:type="dxa"/>
            <w:shd w:val="clear" w:color="auto" w:fill="BFBFBF" w:themeFill="background1" w:themeFillShade="BF"/>
          </w:tcPr>
          <w:p w:rsidR="00812443" w:rsidRPr="001223B9" w:rsidRDefault="00812443" w:rsidP="008D6896">
            <w:pPr>
              <w:jc w:val="center"/>
              <w:rPr>
                <w:rFonts w:ascii="Gill Sans MT" w:hAnsi="Gill Sans MT" w:cs="Arial"/>
                <w:sz w:val="20"/>
                <w:szCs w:val="20"/>
              </w:rPr>
            </w:pPr>
          </w:p>
        </w:tc>
        <w:tc>
          <w:tcPr>
            <w:tcW w:w="1149" w:type="dxa"/>
            <w:shd w:val="clear" w:color="auto" w:fill="BFBFBF" w:themeFill="background1" w:themeFillShade="BF"/>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tcPr>
          <w:p w:rsidR="00812443" w:rsidRPr="001223B9" w:rsidRDefault="00812443" w:rsidP="008D6896">
            <w:pPr>
              <w:numPr>
                <w:ilvl w:val="2"/>
                <w:numId w:val="6"/>
              </w:numPr>
              <w:jc w:val="both"/>
              <w:rPr>
                <w:rFonts w:ascii="Gill Sans MT" w:hAnsi="Gill Sans MT" w:cs="Arial"/>
                <w:sz w:val="20"/>
                <w:szCs w:val="20"/>
              </w:rPr>
            </w:pPr>
            <w:r w:rsidRPr="001223B9">
              <w:rPr>
                <w:rFonts w:ascii="Gill Sans MT" w:hAnsi="Gill Sans MT" w:cs="Arial"/>
                <w:sz w:val="20"/>
                <w:szCs w:val="20"/>
              </w:rPr>
              <w:t>Misión</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tcPr>
          <w:p w:rsidR="00812443" w:rsidRPr="001223B9" w:rsidRDefault="00812443" w:rsidP="008D6896">
            <w:pPr>
              <w:numPr>
                <w:ilvl w:val="2"/>
                <w:numId w:val="6"/>
              </w:numPr>
              <w:jc w:val="both"/>
              <w:rPr>
                <w:rFonts w:ascii="Gill Sans MT" w:hAnsi="Gill Sans MT" w:cs="Arial"/>
                <w:sz w:val="20"/>
                <w:szCs w:val="20"/>
              </w:rPr>
            </w:pPr>
            <w:r w:rsidRPr="001223B9">
              <w:rPr>
                <w:rFonts w:ascii="Gill Sans MT" w:hAnsi="Gill Sans MT" w:cs="Arial"/>
                <w:sz w:val="20"/>
                <w:szCs w:val="20"/>
              </w:rPr>
              <w:t>Visión al 2015</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tcPr>
          <w:p w:rsidR="00812443" w:rsidRPr="001223B9" w:rsidRDefault="00812443" w:rsidP="008D6896">
            <w:pPr>
              <w:numPr>
                <w:ilvl w:val="2"/>
                <w:numId w:val="6"/>
              </w:numPr>
              <w:jc w:val="both"/>
              <w:rPr>
                <w:rFonts w:ascii="Gill Sans MT" w:hAnsi="Gill Sans MT" w:cs="Arial"/>
                <w:sz w:val="20"/>
                <w:szCs w:val="20"/>
              </w:rPr>
            </w:pPr>
            <w:r w:rsidRPr="001223B9">
              <w:rPr>
                <w:rFonts w:ascii="Gill Sans MT" w:hAnsi="Gill Sans MT" w:cs="Arial"/>
                <w:sz w:val="20"/>
                <w:szCs w:val="20"/>
              </w:rPr>
              <w:t xml:space="preserve">Objetivos estratégicos </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tcPr>
          <w:p w:rsidR="00812443" w:rsidRPr="001223B9" w:rsidRDefault="00812443" w:rsidP="008D6896">
            <w:pPr>
              <w:numPr>
                <w:ilvl w:val="2"/>
                <w:numId w:val="6"/>
              </w:numPr>
              <w:jc w:val="both"/>
              <w:rPr>
                <w:rFonts w:ascii="Gill Sans MT" w:hAnsi="Gill Sans MT" w:cs="Arial"/>
                <w:sz w:val="20"/>
                <w:szCs w:val="20"/>
              </w:rPr>
            </w:pPr>
            <w:r w:rsidRPr="001223B9">
              <w:rPr>
                <w:rFonts w:ascii="Gill Sans MT" w:hAnsi="Gill Sans MT" w:cs="Arial"/>
                <w:sz w:val="20"/>
                <w:szCs w:val="20"/>
              </w:rPr>
              <w:t>Políticas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tcPr>
          <w:p w:rsidR="00812443" w:rsidRPr="001223B9" w:rsidRDefault="00812443" w:rsidP="008D6896">
            <w:pPr>
              <w:numPr>
                <w:ilvl w:val="2"/>
                <w:numId w:val="4"/>
              </w:numPr>
              <w:jc w:val="both"/>
              <w:rPr>
                <w:rFonts w:ascii="Gill Sans MT" w:hAnsi="Gill Sans MT" w:cs="Arial"/>
                <w:sz w:val="20"/>
                <w:szCs w:val="20"/>
              </w:rPr>
            </w:pPr>
            <w:r w:rsidRPr="001223B9">
              <w:rPr>
                <w:rFonts w:ascii="Gill Sans MT" w:hAnsi="Gill Sans MT" w:cs="Arial"/>
                <w:sz w:val="20"/>
                <w:szCs w:val="20"/>
              </w:rPr>
              <w:t>Estrategias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tcPr>
          <w:p w:rsidR="00812443" w:rsidRPr="001223B9" w:rsidRDefault="00812443" w:rsidP="008D6896">
            <w:pPr>
              <w:numPr>
                <w:ilvl w:val="2"/>
                <w:numId w:val="6"/>
              </w:numPr>
              <w:jc w:val="both"/>
              <w:rPr>
                <w:rFonts w:ascii="Gill Sans MT" w:hAnsi="Gill Sans MT" w:cs="Arial"/>
                <w:sz w:val="20"/>
                <w:szCs w:val="20"/>
              </w:rPr>
            </w:pPr>
            <w:r w:rsidRPr="001223B9">
              <w:rPr>
                <w:rFonts w:ascii="Gill Sans MT" w:hAnsi="Gill Sans MT" w:cs="Arial"/>
                <w:sz w:val="20"/>
                <w:szCs w:val="20"/>
              </w:rPr>
              <w:t>Acciones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tcPr>
          <w:p w:rsidR="00812443" w:rsidRPr="001223B9" w:rsidRDefault="00812443" w:rsidP="008D6896">
            <w:pPr>
              <w:numPr>
                <w:ilvl w:val="0"/>
                <w:numId w:val="9"/>
              </w:numPr>
              <w:jc w:val="both"/>
              <w:rPr>
                <w:rFonts w:ascii="Gill Sans MT" w:hAnsi="Gill Sans MT" w:cs="Arial"/>
                <w:sz w:val="20"/>
                <w:szCs w:val="20"/>
              </w:rPr>
            </w:pPr>
            <w:r w:rsidRPr="001223B9">
              <w:rPr>
                <w:rFonts w:ascii="Gill Sans MT" w:hAnsi="Gill Sans MT" w:cs="Arial"/>
                <w:sz w:val="20"/>
                <w:szCs w:val="20"/>
              </w:rPr>
              <w:t>Tabla síntesis de la planeación académica</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tcPr>
          <w:p w:rsidR="00812443" w:rsidRPr="001223B9" w:rsidRDefault="00812443" w:rsidP="007144ED">
            <w:pPr>
              <w:numPr>
                <w:ilvl w:val="0"/>
                <w:numId w:val="9"/>
              </w:numPr>
              <w:jc w:val="both"/>
              <w:rPr>
                <w:rFonts w:ascii="Gill Sans MT" w:hAnsi="Gill Sans MT" w:cs="Arial"/>
                <w:sz w:val="20"/>
                <w:szCs w:val="20"/>
              </w:rPr>
            </w:pPr>
            <w:r w:rsidRPr="001223B9">
              <w:rPr>
                <w:rFonts w:ascii="Gill Sans MT" w:hAnsi="Gill Sans MT" w:cs="Arial"/>
                <w:sz w:val="20"/>
                <w:szCs w:val="20"/>
              </w:rPr>
              <w:t>Tabla Metas Compromiso para el periodo 201</w:t>
            </w:r>
            <w:r w:rsidR="007144ED" w:rsidRPr="001223B9">
              <w:rPr>
                <w:rFonts w:ascii="Gill Sans MT" w:hAnsi="Gill Sans MT" w:cs="Arial"/>
                <w:sz w:val="20"/>
                <w:szCs w:val="20"/>
              </w:rPr>
              <w:t>4-2017</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shd w:val="clear" w:color="auto" w:fill="BFBFBF" w:themeFill="background1" w:themeFillShade="BF"/>
          </w:tcPr>
          <w:p w:rsidR="00812443" w:rsidRPr="001223B9" w:rsidRDefault="00812443" w:rsidP="007144ED">
            <w:pPr>
              <w:numPr>
                <w:ilvl w:val="0"/>
                <w:numId w:val="5"/>
              </w:numPr>
              <w:jc w:val="both"/>
              <w:rPr>
                <w:rFonts w:ascii="Gill Sans MT" w:hAnsi="Gill Sans MT" w:cs="Arial"/>
                <w:sz w:val="20"/>
                <w:szCs w:val="20"/>
              </w:rPr>
            </w:pPr>
            <w:r w:rsidRPr="001223B9">
              <w:rPr>
                <w:rFonts w:ascii="Gill Sans MT" w:hAnsi="Gill Sans MT" w:cs="Arial"/>
                <w:sz w:val="20"/>
                <w:szCs w:val="20"/>
              </w:rPr>
              <w:t>Valores de los indica</w:t>
            </w:r>
            <w:r w:rsidR="007144ED" w:rsidRPr="001223B9">
              <w:rPr>
                <w:rFonts w:ascii="Gill Sans MT" w:hAnsi="Gill Sans MT" w:cs="Arial"/>
                <w:sz w:val="20"/>
                <w:szCs w:val="20"/>
              </w:rPr>
              <w:t xml:space="preserve">dores de la DES y de sus PE a </w:t>
            </w:r>
            <w:r w:rsidRPr="001223B9">
              <w:rPr>
                <w:rFonts w:ascii="Gill Sans MT" w:hAnsi="Gill Sans MT" w:cs="Arial"/>
                <w:sz w:val="20"/>
                <w:szCs w:val="20"/>
              </w:rPr>
              <w:t>2012, 2013, 201</w:t>
            </w:r>
            <w:r w:rsidR="007144ED" w:rsidRPr="001223B9">
              <w:rPr>
                <w:rFonts w:ascii="Gill Sans MT" w:hAnsi="Gill Sans MT" w:cs="Arial"/>
                <w:sz w:val="20"/>
                <w:szCs w:val="20"/>
              </w:rPr>
              <w:t xml:space="preserve">4, </w:t>
            </w:r>
            <w:r w:rsidRPr="001223B9">
              <w:rPr>
                <w:rFonts w:ascii="Gill Sans MT" w:hAnsi="Gill Sans MT" w:cs="Arial"/>
                <w:sz w:val="20"/>
                <w:szCs w:val="20"/>
              </w:rPr>
              <w:t>2015</w:t>
            </w:r>
            <w:r w:rsidR="007144ED" w:rsidRPr="001223B9">
              <w:rPr>
                <w:rFonts w:ascii="Gill Sans MT" w:hAnsi="Gill Sans MT" w:cs="Arial"/>
                <w:sz w:val="20"/>
                <w:szCs w:val="20"/>
              </w:rPr>
              <w:t>, 2016 y 2017</w:t>
            </w:r>
          </w:p>
        </w:tc>
        <w:tc>
          <w:tcPr>
            <w:tcW w:w="719" w:type="dxa"/>
            <w:shd w:val="clear" w:color="auto" w:fill="BFBFBF" w:themeFill="background1" w:themeFillShade="BF"/>
          </w:tcPr>
          <w:p w:rsidR="00812443" w:rsidRPr="001223B9" w:rsidRDefault="00812443" w:rsidP="008D6896">
            <w:pPr>
              <w:jc w:val="center"/>
              <w:rPr>
                <w:rFonts w:ascii="Gill Sans MT" w:hAnsi="Gill Sans MT" w:cs="Arial"/>
                <w:sz w:val="20"/>
                <w:szCs w:val="20"/>
              </w:rPr>
            </w:pPr>
          </w:p>
        </w:tc>
        <w:tc>
          <w:tcPr>
            <w:tcW w:w="540" w:type="dxa"/>
            <w:shd w:val="clear" w:color="auto" w:fill="BFBFBF" w:themeFill="background1" w:themeFillShade="BF"/>
          </w:tcPr>
          <w:p w:rsidR="00812443" w:rsidRPr="001223B9" w:rsidRDefault="00812443" w:rsidP="008D6896">
            <w:pPr>
              <w:jc w:val="center"/>
              <w:rPr>
                <w:rFonts w:ascii="Gill Sans MT" w:hAnsi="Gill Sans MT" w:cs="Arial"/>
                <w:sz w:val="20"/>
                <w:szCs w:val="20"/>
              </w:rPr>
            </w:pPr>
          </w:p>
        </w:tc>
        <w:tc>
          <w:tcPr>
            <w:tcW w:w="1149" w:type="dxa"/>
            <w:shd w:val="clear" w:color="auto" w:fill="BFBFBF" w:themeFill="background1" w:themeFillShade="BF"/>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tcPr>
          <w:p w:rsidR="00812443" w:rsidRPr="001223B9" w:rsidRDefault="00812443" w:rsidP="008D6896">
            <w:pPr>
              <w:numPr>
                <w:ilvl w:val="1"/>
                <w:numId w:val="6"/>
              </w:numPr>
              <w:jc w:val="both"/>
              <w:rPr>
                <w:rFonts w:ascii="Gill Sans MT" w:hAnsi="Gill Sans MT" w:cs="Arial"/>
                <w:sz w:val="20"/>
                <w:szCs w:val="20"/>
              </w:rPr>
            </w:pPr>
            <w:r w:rsidRPr="001223B9">
              <w:rPr>
                <w:rFonts w:ascii="Gill Sans MT" w:hAnsi="Gill Sans MT" w:cs="Arial"/>
                <w:sz w:val="20"/>
                <w:szCs w:val="20"/>
              </w:rPr>
              <w:t>Anexo XIII</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shd w:val="clear" w:color="auto" w:fill="BFBFBF" w:themeFill="background1" w:themeFillShade="BF"/>
          </w:tcPr>
          <w:p w:rsidR="00812443" w:rsidRPr="001223B9" w:rsidRDefault="00812443" w:rsidP="007144ED">
            <w:pPr>
              <w:numPr>
                <w:ilvl w:val="0"/>
                <w:numId w:val="5"/>
              </w:numPr>
              <w:jc w:val="both"/>
              <w:rPr>
                <w:rFonts w:ascii="Gill Sans MT" w:hAnsi="Gill Sans MT" w:cs="Arial"/>
                <w:sz w:val="20"/>
                <w:szCs w:val="20"/>
              </w:rPr>
            </w:pPr>
            <w:r w:rsidRPr="001223B9">
              <w:rPr>
                <w:rFonts w:ascii="Gill Sans MT" w:hAnsi="Gill Sans MT" w:cs="Arial"/>
                <w:sz w:val="20"/>
                <w:szCs w:val="20"/>
              </w:rPr>
              <w:t xml:space="preserve">Proyecto Integral de la DES (Máximo </w:t>
            </w:r>
            <w:r w:rsidR="007144ED" w:rsidRPr="001223B9">
              <w:rPr>
                <w:rFonts w:ascii="Gill Sans MT" w:hAnsi="Gill Sans MT" w:cs="Arial"/>
                <w:sz w:val="20"/>
                <w:szCs w:val="20"/>
              </w:rPr>
              <w:t>20</w:t>
            </w:r>
            <w:r w:rsidRPr="001223B9">
              <w:rPr>
                <w:rFonts w:ascii="Gill Sans MT" w:hAnsi="Gill Sans MT" w:cs="Arial"/>
                <w:sz w:val="20"/>
                <w:szCs w:val="20"/>
              </w:rPr>
              <w:t xml:space="preserve"> cuartillas)</w:t>
            </w:r>
          </w:p>
        </w:tc>
        <w:tc>
          <w:tcPr>
            <w:tcW w:w="719" w:type="dxa"/>
            <w:shd w:val="clear" w:color="auto" w:fill="BFBFBF" w:themeFill="background1" w:themeFillShade="BF"/>
          </w:tcPr>
          <w:p w:rsidR="00812443" w:rsidRPr="001223B9" w:rsidRDefault="00812443" w:rsidP="008D6896">
            <w:pPr>
              <w:jc w:val="both"/>
              <w:rPr>
                <w:rFonts w:ascii="Gill Sans MT" w:hAnsi="Gill Sans MT" w:cs="Arial"/>
                <w:sz w:val="20"/>
                <w:szCs w:val="20"/>
              </w:rPr>
            </w:pPr>
          </w:p>
        </w:tc>
        <w:tc>
          <w:tcPr>
            <w:tcW w:w="540" w:type="dxa"/>
            <w:shd w:val="clear" w:color="auto" w:fill="BFBFBF" w:themeFill="background1" w:themeFillShade="BF"/>
          </w:tcPr>
          <w:p w:rsidR="00812443" w:rsidRPr="001223B9" w:rsidRDefault="00812443" w:rsidP="008D6896">
            <w:pPr>
              <w:jc w:val="center"/>
              <w:rPr>
                <w:rFonts w:ascii="Gill Sans MT" w:hAnsi="Gill Sans MT" w:cs="Arial"/>
                <w:sz w:val="20"/>
                <w:szCs w:val="20"/>
              </w:rPr>
            </w:pPr>
          </w:p>
        </w:tc>
        <w:tc>
          <w:tcPr>
            <w:tcW w:w="1149" w:type="dxa"/>
            <w:shd w:val="clear" w:color="auto" w:fill="BFBFBF" w:themeFill="background1" w:themeFillShade="BF"/>
          </w:tcPr>
          <w:p w:rsidR="00812443" w:rsidRPr="001223B9" w:rsidRDefault="00812443" w:rsidP="008D6896">
            <w:pPr>
              <w:jc w:val="both"/>
              <w:rPr>
                <w:rFonts w:ascii="Gill Sans MT" w:hAnsi="Gill Sans MT" w:cs="Arial"/>
                <w:sz w:val="20"/>
                <w:szCs w:val="20"/>
              </w:rPr>
            </w:pPr>
          </w:p>
        </w:tc>
      </w:tr>
      <w:tr w:rsidR="00812443" w:rsidRPr="001223B9" w:rsidTr="008D6896">
        <w:trPr>
          <w:trHeight w:val="456"/>
        </w:trPr>
        <w:tc>
          <w:tcPr>
            <w:tcW w:w="6646" w:type="dxa"/>
          </w:tcPr>
          <w:p w:rsidR="00812443" w:rsidRPr="001223B9" w:rsidRDefault="00812443" w:rsidP="008D6896">
            <w:pPr>
              <w:numPr>
                <w:ilvl w:val="1"/>
                <w:numId w:val="4"/>
              </w:numPr>
              <w:autoSpaceDE w:val="0"/>
              <w:autoSpaceDN w:val="0"/>
              <w:adjustRightInd w:val="0"/>
              <w:jc w:val="both"/>
              <w:rPr>
                <w:rFonts w:ascii="Gill Sans MT" w:hAnsi="Gill Sans MT" w:cs="Arial"/>
                <w:sz w:val="20"/>
                <w:szCs w:val="20"/>
              </w:rPr>
            </w:pPr>
            <w:r w:rsidRPr="001223B9">
              <w:rPr>
                <w:rFonts w:ascii="Gill Sans MT" w:hAnsi="Gill Sans MT" w:cs="Arial"/>
                <w:sz w:val="20"/>
                <w:szCs w:val="20"/>
              </w:rPr>
              <w:t>El ProDES y su proyecto deben constituir un planteamiento congruente y articulado.</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1112"/>
        </w:trPr>
        <w:tc>
          <w:tcPr>
            <w:tcW w:w="6646" w:type="dxa"/>
          </w:tcPr>
          <w:p w:rsidR="00812443" w:rsidRPr="001223B9" w:rsidRDefault="00812443" w:rsidP="008D6896">
            <w:pPr>
              <w:numPr>
                <w:ilvl w:val="1"/>
                <w:numId w:val="4"/>
              </w:numPr>
              <w:autoSpaceDE w:val="0"/>
              <w:autoSpaceDN w:val="0"/>
              <w:adjustRightInd w:val="0"/>
              <w:jc w:val="both"/>
              <w:rPr>
                <w:rFonts w:ascii="Gill Sans MT" w:hAnsi="Gill Sans MT" w:cs="Arial"/>
                <w:sz w:val="20"/>
                <w:szCs w:val="20"/>
              </w:rPr>
            </w:pPr>
            <w:r w:rsidRPr="001223B9">
              <w:rPr>
                <w:rFonts w:ascii="Gill Sans MT" w:hAnsi="Gill Sans MT" w:cs="Arial"/>
                <w:sz w:val="20"/>
                <w:szCs w:val="20"/>
              </w:rPr>
              <w:t>El proyecto integral deberá contener como máximo cuatro objetivos particulares, cuatro metas académicas por objetivo particular y cuatro acciones articuladas por meta con sus respectivos recursos debidamente justificados y priorizados. (Extensión máxima de 15 cuartillas).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1418"/>
        </w:trPr>
        <w:tc>
          <w:tcPr>
            <w:tcW w:w="6646" w:type="dxa"/>
          </w:tcPr>
          <w:p w:rsidR="00812443" w:rsidRPr="001223B9" w:rsidRDefault="00812443" w:rsidP="008D6896">
            <w:pPr>
              <w:numPr>
                <w:ilvl w:val="1"/>
                <w:numId w:val="4"/>
              </w:numPr>
              <w:autoSpaceDE w:val="0"/>
              <w:autoSpaceDN w:val="0"/>
              <w:adjustRightInd w:val="0"/>
              <w:jc w:val="both"/>
              <w:rPr>
                <w:rFonts w:ascii="Gill Sans MT" w:hAnsi="Gill Sans MT" w:cs="Arial"/>
                <w:sz w:val="20"/>
                <w:szCs w:val="20"/>
              </w:rPr>
            </w:pPr>
            <w:r w:rsidRPr="001223B9">
              <w:rPr>
                <w:rFonts w:ascii="Gill Sans MT" w:hAnsi="Gill Sans MT" w:cs="Arial"/>
                <w:sz w:val="20"/>
                <w:szCs w:val="20"/>
              </w:rPr>
              <w:lastRenderedPageBreak/>
              <w:t>Proyecto integral debe incidir en el desarrollo de los cuerpos académicos y el fortalecimiento de la planta académica, además de la capacitación y actualización en el proceso de enseñanza aprendizaje,</w:t>
            </w:r>
            <w:r w:rsidRPr="001223B9">
              <w:rPr>
                <w:rFonts w:ascii="Gill Sans MT" w:eastAsiaTheme="minorHAnsi" w:hAnsi="Gill Sans MT" w:cs="Times New Roman"/>
                <w:color w:val="000000"/>
                <w:sz w:val="20"/>
                <w:szCs w:val="20"/>
                <w:lang w:eastAsia="en-US"/>
              </w:rPr>
              <w:t xml:space="preserve"> </w:t>
            </w:r>
            <w:r w:rsidRPr="001223B9">
              <w:rPr>
                <w:rFonts w:ascii="Gill Sans MT" w:hAnsi="Gill Sans MT" w:cs="Arial"/>
                <w:sz w:val="20"/>
                <w:szCs w:val="20"/>
              </w:rPr>
              <w:t>en mejorar la atención y formación integral de los estudiantes y la calidad de los PE de TSU/Licenciatura y posgrado.</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tcPr>
          <w:p w:rsidR="00812443" w:rsidRPr="001223B9" w:rsidRDefault="00812443" w:rsidP="008D6896">
            <w:pPr>
              <w:numPr>
                <w:ilvl w:val="0"/>
                <w:numId w:val="6"/>
              </w:numPr>
              <w:jc w:val="both"/>
              <w:rPr>
                <w:rFonts w:ascii="Gill Sans MT" w:hAnsi="Gill Sans MT" w:cs="Arial"/>
                <w:sz w:val="20"/>
                <w:szCs w:val="20"/>
              </w:rPr>
            </w:pPr>
            <w:r w:rsidRPr="001223B9">
              <w:rPr>
                <w:rFonts w:ascii="Gill Sans MT" w:hAnsi="Gill Sans MT" w:cs="Arial"/>
                <w:sz w:val="20"/>
                <w:szCs w:val="20"/>
              </w:rPr>
              <w:t>Tabla resumen del proyecto integral de la DES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shd w:val="clear" w:color="auto" w:fill="BFBFBF" w:themeFill="background1" w:themeFillShade="BF"/>
          </w:tcPr>
          <w:p w:rsidR="00812443" w:rsidRPr="001223B9" w:rsidRDefault="00812443" w:rsidP="008D6896">
            <w:pPr>
              <w:numPr>
                <w:ilvl w:val="0"/>
                <w:numId w:val="5"/>
              </w:numPr>
              <w:jc w:val="both"/>
              <w:rPr>
                <w:rFonts w:ascii="Gill Sans MT" w:hAnsi="Gill Sans MT" w:cs="Arial"/>
                <w:sz w:val="20"/>
                <w:szCs w:val="20"/>
              </w:rPr>
            </w:pPr>
            <w:r w:rsidRPr="001223B9">
              <w:rPr>
                <w:rFonts w:ascii="Gill Sans MT" w:hAnsi="Gill Sans MT" w:cs="Arial"/>
                <w:sz w:val="20"/>
                <w:szCs w:val="20"/>
              </w:rPr>
              <w:t>Consistencia Interna del ProDES y su impacto previsto en el cierre de brechas de calidad</w:t>
            </w:r>
            <w:r w:rsidR="007144ED" w:rsidRPr="001223B9">
              <w:rPr>
                <w:rFonts w:ascii="Gill Sans MT" w:hAnsi="Gill Sans MT" w:cs="Arial"/>
                <w:sz w:val="20"/>
                <w:szCs w:val="20"/>
              </w:rPr>
              <w:t xml:space="preserve"> al interior de la DES (Máximo 3</w:t>
            </w:r>
            <w:r w:rsidRPr="001223B9">
              <w:rPr>
                <w:rFonts w:ascii="Gill Sans MT" w:hAnsi="Gill Sans MT" w:cs="Arial"/>
                <w:sz w:val="20"/>
                <w:szCs w:val="20"/>
              </w:rPr>
              <w:t xml:space="preserve"> cuartillas)</w:t>
            </w:r>
          </w:p>
        </w:tc>
        <w:tc>
          <w:tcPr>
            <w:tcW w:w="719" w:type="dxa"/>
            <w:shd w:val="clear" w:color="auto" w:fill="BFBFBF" w:themeFill="background1" w:themeFillShade="BF"/>
          </w:tcPr>
          <w:p w:rsidR="00812443" w:rsidRPr="001223B9" w:rsidRDefault="00812443" w:rsidP="008D6896">
            <w:pPr>
              <w:jc w:val="both"/>
              <w:rPr>
                <w:rFonts w:ascii="Gill Sans MT" w:hAnsi="Gill Sans MT" w:cs="Arial"/>
                <w:sz w:val="20"/>
                <w:szCs w:val="20"/>
              </w:rPr>
            </w:pPr>
          </w:p>
        </w:tc>
        <w:tc>
          <w:tcPr>
            <w:tcW w:w="540" w:type="dxa"/>
            <w:shd w:val="clear" w:color="auto" w:fill="BFBFBF" w:themeFill="background1" w:themeFillShade="BF"/>
          </w:tcPr>
          <w:p w:rsidR="00812443" w:rsidRPr="001223B9" w:rsidRDefault="00812443" w:rsidP="008D6896">
            <w:pPr>
              <w:jc w:val="center"/>
              <w:rPr>
                <w:rFonts w:ascii="Gill Sans MT" w:hAnsi="Gill Sans MT" w:cs="Arial"/>
                <w:sz w:val="20"/>
                <w:szCs w:val="20"/>
              </w:rPr>
            </w:pPr>
          </w:p>
        </w:tc>
        <w:tc>
          <w:tcPr>
            <w:tcW w:w="1149" w:type="dxa"/>
            <w:shd w:val="clear" w:color="auto" w:fill="BFBFBF" w:themeFill="background1" w:themeFillShade="BF"/>
          </w:tcPr>
          <w:p w:rsidR="00812443" w:rsidRPr="001223B9" w:rsidRDefault="00812443" w:rsidP="008D6896">
            <w:pPr>
              <w:jc w:val="both"/>
              <w:rPr>
                <w:rFonts w:ascii="Gill Sans MT" w:hAnsi="Gill Sans MT" w:cs="Arial"/>
                <w:sz w:val="20"/>
                <w:szCs w:val="20"/>
              </w:rPr>
            </w:pPr>
          </w:p>
        </w:tc>
      </w:tr>
      <w:tr w:rsidR="00812443" w:rsidRPr="001223B9" w:rsidTr="008D6896">
        <w:trPr>
          <w:trHeight w:val="264"/>
        </w:trPr>
        <w:tc>
          <w:tcPr>
            <w:tcW w:w="6646" w:type="dxa"/>
          </w:tcPr>
          <w:p w:rsidR="00812443" w:rsidRPr="001223B9" w:rsidRDefault="00812443" w:rsidP="008D6896">
            <w:pPr>
              <w:numPr>
                <w:ilvl w:val="0"/>
                <w:numId w:val="8"/>
              </w:numPr>
              <w:autoSpaceDE w:val="0"/>
              <w:autoSpaceDN w:val="0"/>
              <w:adjustRightInd w:val="0"/>
              <w:jc w:val="both"/>
              <w:rPr>
                <w:rFonts w:ascii="Gill Sans MT" w:hAnsi="Gill Sans MT" w:cs="Arial"/>
                <w:sz w:val="20"/>
                <w:szCs w:val="20"/>
              </w:rPr>
            </w:pPr>
            <w:r w:rsidRPr="001223B9">
              <w:rPr>
                <w:rFonts w:ascii="Gill Sans MT" w:hAnsi="Gill Sans MT" w:cs="Arial"/>
                <w:sz w:val="20"/>
                <w:szCs w:val="20"/>
              </w:rPr>
              <w:t>Verificación de la congruencia con la misión y visión de la DES.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3465"/>
        </w:trPr>
        <w:tc>
          <w:tcPr>
            <w:tcW w:w="6646" w:type="dxa"/>
          </w:tcPr>
          <w:p w:rsidR="00812443" w:rsidRPr="001223B9" w:rsidRDefault="00812443" w:rsidP="008D6896">
            <w:pPr>
              <w:numPr>
                <w:ilvl w:val="0"/>
                <w:numId w:val="8"/>
              </w:numPr>
              <w:autoSpaceDE w:val="0"/>
              <w:autoSpaceDN w:val="0"/>
              <w:adjustRightInd w:val="0"/>
              <w:jc w:val="both"/>
              <w:rPr>
                <w:rFonts w:ascii="Gill Sans MT" w:hAnsi="Gill Sans MT" w:cs="Arial"/>
                <w:sz w:val="20"/>
                <w:szCs w:val="20"/>
              </w:rPr>
            </w:pPr>
            <w:r w:rsidRPr="001223B9">
              <w:rPr>
                <w:rFonts w:ascii="Gill Sans MT" w:hAnsi="Gill Sans MT" w:cs="Arial"/>
                <w:sz w:val="20"/>
                <w:szCs w:val="20"/>
              </w:rPr>
              <w:t>Evaluación de las aportaciones del ProDES 2012-2013 en la pertinencia de los programas y servicios académicos; los programas educativos de posgrado para que logren su ingreso al PNPC SEP-</w:t>
            </w:r>
            <w:proofErr w:type="spellStart"/>
            <w:r w:rsidRPr="001223B9">
              <w:rPr>
                <w:rFonts w:ascii="Gill Sans MT" w:hAnsi="Gill Sans MT" w:cs="Arial"/>
                <w:sz w:val="20"/>
                <w:szCs w:val="20"/>
              </w:rPr>
              <w:t>CONACyT</w:t>
            </w:r>
            <w:proofErr w:type="spellEnd"/>
            <w:r w:rsidRPr="001223B9">
              <w:rPr>
                <w:rFonts w:ascii="Gill Sans MT" w:hAnsi="Gill Sans MT" w:cs="Arial"/>
                <w:sz w:val="20"/>
                <w:szCs w:val="20"/>
              </w:rPr>
              <w:t>; la innovación educativa implementada; la cooperación académica nacional e internacional; el impulso a la educación ambiental para el desarrollo sustentable; la vinculación con el entorno; la atención a las recomendaciones de los CIEES y los organismos reconocidos por el COPAES a los PE; los resultados del EGEL del CENEVAL; la capacidad y competitividad académicas de TSU y Licenciatura; la relación entre capacidad y competitividad académicas; brechas de capacidad y competitividad académicas y la atención y formación integral del estudiante.</w:t>
            </w:r>
          </w:p>
          <w:p w:rsidR="00812443" w:rsidRPr="001223B9" w:rsidRDefault="00812443" w:rsidP="008D6896">
            <w:pPr>
              <w:numPr>
                <w:ilvl w:val="0"/>
                <w:numId w:val="8"/>
              </w:numPr>
              <w:autoSpaceDE w:val="0"/>
              <w:autoSpaceDN w:val="0"/>
              <w:adjustRightInd w:val="0"/>
              <w:jc w:val="both"/>
              <w:rPr>
                <w:rFonts w:ascii="Gill Sans MT" w:hAnsi="Gill Sans MT" w:cs="Arial"/>
                <w:sz w:val="20"/>
                <w:szCs w:val="20"/>
              </w:rPr>
            </w:pPr>
            <w:r w:rsidRPr="001223B9">
              <w:rPr>
                <w:rFonts w:ascii="Gill Sans MT" w:hAnsi="Gill Sans MT" w:cs="Arial"/>
                <w:sz w:val="20"/>
                <w:szCs w:val="20"/>
              </w:rPr>
              <w:t>Verificación de la articulación entre problemas, políticas, objetivos, estrategias, acciones y el proyecto integral.</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rPr>
          <w:trHeight w:val="670"/>
        </w:trPr>
        <w:tc>
          <w:tcPr>
            <w:tcW w:w="6646" w:type="dxa"/>
          </w:tcPr>
          <w:p w:rsidR="00812443" w:rsidRPr="001223B9" w:rsidRDefault="00812443" w:rsidP="008D6896">
            <w:pPr>
              <w:numPr>
                <w:ilvl w:val="0"/>
                <w:numId w:val="8"/>
              </w:numPr>
              <w:autoSpaceDE w:val="0"/>
              <w:autoSpaceDN w:val="0"/>
              <w:adjustRightInd w:val="0"/>
              <w:jc w:val="both"/>
              <w:rPr>
                <w:rFonts w:ascii="Gill Sans MT" w:hAnsi="Gill Sans MT" w:cs="Arial"/>
                <w:sz w:val="20"/>
                <w:szCs w:val="20"/>
              </w:rPr>
            </w:pPr>
            <w:r w:rsidRPr="001223B9">
              <w:rPr>
                <w:rFonts w:ascii="Gill Sans MT" w:hAnsi="Gill Sans MT" w:cs="Arial"/>
                <w:sz w:val="20"/>
                <w:szCs w:val="20"/>
              </w:rPr>
              <w:t>Evaluación de la factibilidad para lograr los objetivos y compromisos de la DES.</w:t>
            </w:r>
          </w:p>
          <w:p w:rsidR="00812443" w:rsidRPr="001223B9" w:rsidRDefault="00812443" w:rsidP="008D6896">
            <w:pPr>
              <w:numPr>
                <w:ilvl w:val="0"/>
                <w:numId w:val="7"/>
              </w:numPr>
              <w:jc w:val="both"/>
              <w:rPr>
                <w:rFonts w:ascii="Gill Sans MT" w:hAnsi="Gill Sans MT" w:cs="Arial"/>
                <w:sz w:val="20"/>
                <w:szCs w:val="20"/>
              </w:rPr>
            </w:pPr>
            <w:r w:rsidRPr="001223B9">
              <w:rPr>
                <w:rFonts w:ascii="Gill Sans MT" w:hAnsi="Gill Sans MT" w:cs="Arial"/>
                <w:sz w:val="20"/>
                <w:szCs w:val="20"/>
              </w:rPr>
              <w:t>Revisión sustentada y racional de los recursos solicitados.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tcPr>
          <w:p w:rsidR="00812443" w:rsidRPr="001223B9" w:rsidRDefault="00812443" w:rsidP="008D6896">
            <w:pPr>
              <w:numPr>
                <w:ilvl w:val="0"/>
                <w:numId w:val="6"/>
              </w:numPr>
              <w:jc w:val="both"/>
              <w:rPr>
                <w:rFonts w:ascii="Gill Sans MT" w:hAnsi="Gill Sans MT" w:cs="Arial"/>
                <w:sz w:val="20"/>
                <w:szCs w:val="20"/>
              </w:rPr>
            </w:pPr>
            <w:r w:rsidRPr="001223B9">
              <w:rPr>
                <w:rFonts w:ascii="Gill Sans MT" w:hAnsi="Gill Sans MT" w:cs="Arial"/>
                <w:sz w:val="20"/>
                <w:szCs w:val="20"/>
              </w:rPr>
              <w:t>Tabla de consistencia interna del ProDES</w:t>
            </w: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shd w:val="clear" w:color="auto" w:fill="BFBFBF" w:themeFill="background1" w:themeFillShade="BF"/>
          </w:tcPr>
          <w:p w:rsidR="00812443" w:rsidRPr="001223B9" w:rsidRDefault="00812443" w:rsidP="008D6896">
            <w:pPr>
              <w:numPr>
                <w:ilvl w:val="0"/>
                <w:numId w:val="5"/>
              </w:numPr>
              <w:jc w:val="both"/>
              <w:rPr>
                <w:rFonts w:ascii="Gill Sans MT" w:hAnsi="Gill Sans MT" w:cs="Arial"/>
                <w:sz w:val="20"/>
                <w:szCs w:val="20"/>
              </w:rPr>
            </w:pPr>
            <w:r w:rsidRPr="001223B9">
              <w:rPr>
                <w:rFonts w:ascii="Gill Sans MT" w:hAnsi="Gill Sans MT" w:cs="Arial"/>
                <w:sz w:val="20"/>
                <w:szCs w:val="20"/>
              </w:rPr>
              <w:t>Conclusiones (Máximo 1 cuartilla)</w:t>
            </w:r>
          </w:p>
        </w:tc>
        <w:tc>
          <w:tcPr>
            <w:tcW w:w="719" w:type="dxa"/>
            <w:shd w:val="clear" w:color="auto" w:fill="BFBFBF" w:themeFill="background1" w:themeFillShade="BF"/>
          </w:tcPr>
          <w:p w:rsidR="00812443" w:rsidRPr="001223B9" w:rsidRDefault="00812443" w:rsidP="008D6896">
            <w:pPr>
              <w:jc w:val="both"/>
              <w:rPr>
                <w:rFonts w:ascii="Gill Sans MT" w:hAnsi="Gill Sans MT" w:cs="Arial"/>
                <w:sz w:val="20"/>
                <w:szCs w:val="20"/>
              </w:rPr>
            </w:pPr>
          </w:p>
        </w:tc>
        <w:tc>
          <w:tcPr>
            <w:tcW w:w="540" w:type="dxa"/>
            <w:shd w:val="clear" w:color="auto" w:fill="BFBFBF" w:themeFill="background1" w:themeFillShade="BF"/>
          </w:tcPr>
          <w:p w:rsidR="00812443" w:rsidRPr="001223B9" w:rsidRDefault="00812443" w:rsidP="008D6896">
            <w:pPr>
              <w:jc w:val="center"/>
              <w:rPr>
                <w:rFonts w:ascii="Gill Sans MT" w:hAnsi="Gill Sans MT" w:cs="Arial"/>
                <w:sz w:val="20"/>
                <w:szCs w:val="20"/>
              </w:rPr>
            </w:pPr>
          </w:p>
        </w:tc>
        <w:tc>
          <w:tcPr>
            <w:tcW w:w="1149" w:type="dxa"/>
            <w:shd w:val="clear" w:color="auto" w:fill="BFBFBF" w:themeFill="background1" w:themeFillShade="BF"/>
          </w:tcPr>
          <w:p w:rsidR="00812443" w:rsidRPr="001223B9" w:rsidRDefault="00812443" w:rsidP="008D6896">
            <w:pPr>
              <w:jc w:val="both"/>
              <w:rPr>
                <w:rFonts w:ascii="Gill Sans MT" w:hAnsi="Gill Sans MT" w:cs="Arial"/>
                <w:sz w:val="20"/>
                <w:szCs w:val="20"/>
              </w:rPr>
            </w:pPr>
          </w:p>
        </w:tc>
      </w:tr>
      <w:tr w:rsidR="00812443" w:rsidRPr="001223B9" w:rsidTr="008D6896">
        <w:tc>
          <w:tcPr>
            <w:tcW w:w="6646" w:type="dxa"/>
          </w:tcPr>
          <w:p w:rsidR="00812443" w:rsidRPr="001223B9" w:rsidRDefault="00812443" w:rsidP="008D6896">
            <w:pPr>
              <w:jc w:val="both"/>
              <w:rPr>
                <w:rFonts w:ascii="Gill Sans MT" w:hAnsi="Gill Sans MT" w:cs="Arial"/>
                <w:sz w:val="20"/>
                <w:szCs w:val="20"/>
              </w:rPr>
            </w:pPr>
          </w:p>
        </w:tc>
        <w:tc>
          <w:tcPr>
            <w:tcW w:w="719" w:type="dxa"/>
          </w:tcPr>
          <w:p w:rsidR="00812443" w:rsidRPr="001223B9" w:rsidRDefault="00812443" w:rsidP="008D6896">
            <w:pPr>
              <w:jc w:val="both"/>
              <w:rPr>
                <w:rFonts w:ascii="Gill Sans MT" w:hAnsi="Gill Sans MT" w:cs="Arial"/>
                <w:sz w:val="20"/>
                <w:szCs w:val="20"/>
              </w:rPr>
            </w:pPr>
          </w:p>
        </w:tc>
        <w:tc>
          <w:tcPr>
            <w:tcW w:w="540" w:type="dxa"/>
          </w:tcPr>
          <w:p w:rsidR="00812443" w:rsidRPr="001223B9" w:rsidRDefault="00812443" w:rsidP="008D6896">
            <w:pPr>
              <w:jc w:val="both"/>
              <w:rPr>
                <w:rFonts w:ascii="Gill Sans MT" w:hAnsi="Gill Sans MT" w:cs="Arial"/>
                <w:sz w:val="20"/>
                <w:szCs w:val="20"/>
              </w:rPr>
            </w:pPr>
          </w:p>
        </w:tc>
        <w:tc>
          <w:tcPr>
            <w:tcW w:w="1149" w:type="dxa"/>
          </w:tcPr>
          <w:p w:rsidR="00812443" w:rsidRPr="001223B9" w:rsidRDefault="00812443" w:rsidP="008D6896">
            <w:pPr>
              <w:jc w:val="both"/>
              <w:rPr>
                <w:rFonts w:ascii="Gill Sans MT" w:hAnsi="Gill Sans MT" w:cs="Arial"/>
                <w:sz w:val="20"/>
                <w:szCs w:val="20"/>
              </w:rPr>
            </w:pPr>
          </w:p>
        </w:tc>
      </w:tr>
    </w:tbl>
    <w:p w:rsidR="00812443" w:rsidRDefault="00812443" w:rsidP="00812443"/>
    <w:p w:rsidR="00812443" w:rsidRDefault="00812443" w:rsidP="00812443"/>
    <w:p w:rsidR="00C03F4C" w:rsidRDefault="00C03F4C"/>
    <w:p w:rsidR="00C03F4C" w:rsidRDefault="00C03F4C"/>
    <w:p w:rsidR="00C03F4C" w:rsidRDefault="00C03F4C"/>
    <w:p w:rsidR="00C03F4C" w:rsidRDefault="00C03F4C"/>
    <w:p w:rsidR="00C03F4C" w:rsidRDefault="00C03F4C"/>
    <w:p w:rsidR="00C03F4C" w:rsidRDefault="00C03F4C"/>
    <w:p w:rsidR="00C03F4C" w:rsidRDefault="00C03F4C"/>
    <w:p w:rsidR="00C03F4C" w:rsidRDefault="00C03F4C"/>
    <w:p w:rsidR="00C03F4C" w:rsidRDefault="00C03F4C"/>
    <w:p w:rsidR="00C03F4C" w:rsidRDefault="00C03F4C"/>
    <w:p w:rsidR="00C03F4C" w:rsidRDefault="00C03F4C"/>
    <w:p w:rsidR="00C03F4C" w:rsidRDefault="00C03F4C"/>
    <w:p w:rsidR="00C03F4C" w:rsidRDefault="00C03F4C"/>
    <w:p w:rsidR="00C03F4C" w:rsidRDefault="00C03F4C"/>
    <w:p w:rsidR="00C03F4C" w:rsidRDefault="00C03F4C"/>
    <w:p w:rsidR="00C03F4C" w:rsidRDefault="00C03F4C"/>
    <w:p w:rsidR="00C03F4C" w:rsidRDefault="00C03F4C"/>
    <w:p w:rsidR="00C03F4C" w:rsidRDefault="00C03F4C"/>
    <w:p w:rsidR="00C03F4C" w:rsidRDefault="00C03F4C"/>
    <w:p w:rsidR="00C03F4C" w:rsidRDefault="00C03F4C"/>
    <w:p w:rsidR="00C03F4C" w:rsidRDefault="00C03F4C"/>
    <w:p w:rsidR="00C03F4C" w:rsidRDefault="00C03F4C"/>
    <w:p w:rsidR="00C03F4C" w:rsidRDefault="00C03F4C"/>
    <w:p w:rsidR="00C03F4C" w:rsidRDefault="00C03F4C"/>
    <w:p w:rsidR="00C03F4C" w:rsidRDefault="00C03F4C"/>
    <w:p w:rsidR="00C03F4C" w:rsidRDefault="00C03F4C"/>
    <w:sectPr w:rsidR="00C03F4C" w:rsidSect="002A62C1">
      <w:headerReference w:type="even" r:id="rId12"/>
      <w:headerReference w:type="default" r:id="rId13"/>
      <w:footerReference w:type="even" r:id="rId14"/>
      <w:footerReference w:type="default" r:id="rId15"/>
      <w:headerReference w:type="first" r:id="rId16"/>
      <w:footerReference w:type="first" r:id="rId17"/>
      <w:pgSz w:w="12240" w:h="15840"/>
      <w:pgMar w:top="1559" w:right="1325" w:bottom="567" w:left="1247"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706" w:rsidRDefault="00D45706" w:rsidP="006D69D7">
      <w:pPr>
        <w:spacing w:after="0" w:line="240" w:lineRule="auto"/>
      </w:pPr>
      <w:r>
        <w:separator/>
      </w:r>
    </w:p>
  </w:endnote>
  <w:endnote w:type="continuationSeparator" w:id="0">
    <w:p w:rsidR="00D45706" w:rsidRDefault="00D45706" w:rsidP="006D6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DejaVuSerifCondensed">
    <w:panose1 w:val="00000000000000000000"/>
    <w:charset w:val="00"/>
    <w:family w:val="auto"/>
    <w:notTrueType/>
    <w:pitch w:val="default"/>
    <w:sig w:usb0="00000003" w:usb1="00000000" w:usb2="00000000" w:usb3="00000000" w:csb0="00000001" w:csb1="00000000"/>
  </w:font>
  <w:font w:name="DejaVuSerifCondensed-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149" w:rsidRDefault="006D414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149" w:rsidRDefault="006D414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149" w:rsidRDefault="006D414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706" w:rsidRDefault="00D45706" w:rsidP="006D69D7">
      <w:pPr>
        <w:spacing w:after="0" w:line="240" w:lineRule="auto"/>
      </w:pPr>
      <w:r>
        <w:separator/>
      </w:r>
    </w:p>
  </w:footnote>
  <w:footnote w:type="continuationSeparator" w:id="0">
    <w:p w:rsidR="00D45706" w:rsidRDefault="00D45706" w:rsidP="006D69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149" w:rsidRDefault="006D414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5FF" w:rsidRPr="002A62C1" w:rsidRDefault="001E55FF" w:rsidP="001E55FF">
    <w:pPr>
      <w:pStyle w:val="Area"/>
    </w:pPr>
  </w:p>
  <w:p w:rsidR="008D6896" w:rsidRPr="002A62C1" w:rsidRDefault="008D6896" w:rsidP="001E55FF">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149" w:rsidRDefault="006D414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11616"/>
    <w:multiLevelType w:val="hybridMultilevel"/>
    <w:tmpl w:val="9B3A7F9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CE30039"/>
    <w:multiLevelType w:val="hybridMultilevel"/>
    <w:tmpl w:val="7DA45BC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184E2AB5"/>
    <w:multiLevelType w:val="hybridMultilevel"/>
    <w:tmpl w:val="2AF8CF28"/>
    <w:lvl w:ilvl="0" w:tplc="080A000D">
      <w:start w:val="1"/>
      <w:numFmt w:val="bullet"/>
      <w:lvlText w:val=""/>
      <w:lvlJc w:val="left"/>
      <w:pPr>
        <w:ind w:left="360" w:hanging="360"/>
      </w:pPr>
      <w:rPr>
        <w:rFonts w:ascii="Wingdings" w:hAnsi="Wingdings"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1ABA0D2B"/>
    <w:multiLevelType w:val="hybridMultilevel"/>
    <w:tmpl w:val="F4585C2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1D0D2EA8"/>
    <w:multiLevelType w:val="hybridMultilevel"/>
    <w:tmpl w:val="14DEF9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2C0C29"/>
    <w:multiLevelType w:val="hybridMultilevel"/>
    <w:tmpl w:val="E31A08EE"/>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nsid w:val="23F12000"/>
    <w:multiLevelType w:val="hybridMultilevel"/>
    <w:tmpl w:val="D0E6B09A"/>
    <w:lvl w:ilvl="0" w:tplc="39AE4A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F81E3B"/>
    <w:multiLevelType w:val="hybridMultilevel"/>
    <w:tmpl w:val="CE1C983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nsid w:val="28D94E6A"/>
    <w:multiLevelType w:val="hybridMultilevel"/>
    <w:tmpl w:val="38F0E07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D5853E8"/>
    <w:multiLevelType w:val="hybridMultilevel"/>
    <w:tmpl w:val="853252CC"/>
    <w:lvl w:ilvl="0" w:tplc="080A000D">
      <w:start w:val="1"/>
      <w:numFmt w:val="bullet"/>
      <w:lvlText w:val=""/>
      <w:lvlJc w:val="left"/>
      <w:pPr>
        <w:ind w:left="360" w:hanging="360"/>
      </w:pPr>
      <w:rPr>
        <w:rFonts w:ascii="Wingdings" w:hAnsi="Wingdings" w:hint="default"/>
      </w:rPr>
    </w:lvl>
    <w:lvl w:ilvl="1" w:tplc="080A0001">
      <w:start w:val="1"/>
      <w:numFmt w:val="bullet"/>
      <w:lvlText w:val=""/>
      <w:lvlJc w:val="left"/>
      <w:pPr>
        <w:ind w:left="1080" w:hanging="360"/>
      </w:pPr>
      <w:rPr>
        <w:rFonts w:ascii="Symbol" w:hAnsi="Symbo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nsid w:val="4DD35FAC"/>
    <w:multiLevelType w:val="hybridMultilevel"/>
    <w:tmpl w:val="2D94FE4A"/>
    <w:lvl w:ilvl="0" w:tplc="080A000D">
      <w:start w:val="1"/>
      <w:numFmt w:val="bullet"/>
      <w:lvlText w:val=""/>
      <w:lvlJc w:val="left"/>
      <w:pPr>
        <w:ind w:left="360" w:hanging="360"/>
      </w:pPr>
      <w:rPr>
        <w:rFonts w:ascii="Wingdings" w:hAnsi="Wingdings" w:hint="default"/>
      </w:rPr>
    </w:lvl>
    <w:lvl w:ilvl="1" w:tplc="080A0001">
      <w:start w:val="1"/>
      <w:numFmt w:val="bullet"/>
      <w:lvlText w:val=""/>
      <w:lvlJc w:val="left"/>
      <w:pPr>
        <w:ind w:left="1080" w:hanging="360"/>
      </w:pPr>
      <w:rPr>
        <w:rFonts w:ascii="Symbol" w:hAnsi="Symbo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nsid w:val="5767579A"/>
    <w:multiLevelType w:val="hybridMultilevel"/>
    <w:tmpl w:val="C1DA80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92E72E5"/>
    <w:multiLevelType w:val="hybridMultilevel"/>
    <w:tmpl w:val="388260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1CC2609"/>
    <w:multiLevelType w:val="hybridMultilevel"/>
    <w:tmpl w:val="2758ACF6"/>
    <w:lvl w:ilvl="0" w:tplc="080A000D">
      <w:start w:val="1"/>
      <w:numFmt w:val="bullet"/>
      <w:lvlText w:val=""/>
      <w:lvlJc w:val="left"/>
      <w:pPr>
        <w:ind w:left="360" w:hanging="360"/>
      </w:pPr>
      <w:rPr>
        <w:rFonts w:ascii="Wingdings" w:hAnsi="Wingdings"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nsid w:val="61D60EEB"/>
    <w:multiLevelType w:val="hybridMultilevel"/>
    <w:tmpl w:val="A26CA5B2"/>
    <w:lvl w:ilvl="0" w:tplc="080A0003">
      <w:start w:val="1"/>
      <w:numFmt w:val="bullet"/>
      <w:lvlText w:val="o"/>
      <w:lvlJc w:val="left"/>
      <w:pPr>
        <w:ind w:left="1068" w:hanging="360"/>
      </w:pPr>
      <w:rPr>
        <w:rFonts w:ascii="Courier New" w:hAnsi="Courier New" w:cs="Courier New"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nsid w:val="658F77E6"/>
    <w:multiLevelType w:val="hybridMultilevel"/>
    <w:tmpl w:val="E5FED3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6896E3C"/>
    <w:multiLevelType w:val="hybridMultilevel"/>
    <w:tmpl w:val="9ED03D96"/>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nsid w:val="67DF3142"/>
    <w:multiLevelType w:val="hybridMultilevel"/>
    <w:tmpl w:val="D1E85AB8"/>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nsid w:val="6A1A263C"/>
    <w:multiLevelType w:val="hybridMultilevel"/>
    <w:tmpl w:val="9FE2515E"/>
    <w:lvl w:ilvl="0" w:tplc="CA024D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B880B07"/>
    <w:multiLevelType w:val="hybridMultilevel"/>
    <w:tmpl w:val="B63A7970"/>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7D131F8F"/>
    <w:multiLevelType w:val="hybridMultilevel"/>
    <w:tmpl w:val="F50EB5B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9"/>
  </w:num>
  <w:num w:numId="4">
    <w:abstractNumId w:val="11"/>
  </w:num>
  <w:num w:numId="5">
    <w:abstractNumId w:val="18"/>
  </w:num>
  <w:num w:numId="6">
    <w:abstractNumId w:val="15"/>
  </w:num>
  <w:num w:numId="7">
    <w:abstractNumId w:val="14"/>
  </w:num>
  <w:num w:numId="8">
    <w:abstractNumId w:val="5"/>
  </w:num>
  <w:num w:numId="9">
    <w:abstractNumId w:val="4"/>
  </w:num>
  <w:num w:numId="10">
    <w:abstractNumId w:val="7"/>
  </w:num>
  <w:num w:numId="11">
    <w:abstractNumId w:val="13"/>
  </w:num>
  <w:num w:numId="12">
    <w:abstractNumId w:val="19"/>
  </w:num>
  <w:num w:numId="13">
    <w:abstractNumId w:val="17"/>
  </w:num>
  <w:num w:numId="14">
    <w:abstractNumId w:val="10"/>
  </w:num>
  <w:num w:numId="15">
    <w:abstractNumId w:val="0"/>
  </w:num>
  <w:num w:numId="16">
    <w:abstractNumId w:val="6"/>
  </w:num>
  <w:num w:numId="17">
    <w:abstractNumId w:val="12"/>
  </w:num>
  <w:num w:numId="18">
    <w:abstractNumId w:val="1"/>
  </w:num>
  <w:num w:numId="19">
    <w:abstractNumId w:val="20"/>
  </w:num>
  <w:num w:numId="20">
    <w:abstractNumId w:val="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443"/>
    <w:rsid w:val="0001705A"/>
    <w:rsid w:val="0004363A"/>
    <w:rsid w:val="00055813"/>
    <w:rsid w:val="0006285A"/>
    <w:rsid w:val="00075E24"/>
    <w:rsid w:val="000B744A"/>
    <w:rsid w:val="000F7608"/>
    <w:rsid w:val="001223B9"/>
    <w:rsid w:val="001E55FF"/>
    <w:rsid w:val="002A62C1"/>
    <w:rsid w:val="002C5B67"/>
    <w:rsid w:val="002D58C4"/>
    <w:rsid w:val="002F6B38"/>
    <w:rsid w:val="003107EF"/>
    <w:rsid w:val="00345913"/>
    <w:rsid w:val="0037132B"/>
    <w:rsid w:val="00395D87"/>
    <w:rsid w:val="003C04AF"/>
    <w:rsid w:val="003D4F17"/>
    <w:rsid w:val="0042300B"/>
    <w:rsid w:val="0048781A"/>
    <w:rsid w:val="004F7697"/>
    <w:rsid w:val="00550CB9"/>
    <w:rsid w:val="005B5E6D"/>
    <w:rsid w:val="005E36CF"/>
    <w:rsid w:val="005E69FB"/>
    <w:rsid w:val="00674DFB"/>
    <w:rsid w:val="006C3BEB"/>
    <w:rsid w:val="006D4149"/>
    <w:rsid w:val="006D4233"/>
    <w:rsid w:val="006D69D7"/>
    <w:rsid w:val="007144ED"/>
    <w:rsid w:val="00743DFC"/>
    <w:rsid w:val="00757E78"/>
    <w:rsid w:val="00763421"/>
    <w:rsid w:val="007816B7"/>
    <w:rsid w:val="00796D6C"/>
    <w:rsid w:val="00797AA5"/>
    <w:rsid w:val="007C0885"/>
    <w:rsid w:val="00812443"/>
    <w:rsid w:val="00827F3E"/>
    <w:rsid w:val="008D0821"/>
    <w:rsid w:val="008D2E59"/>
    <w:rsid w:val="008D6896"/>
    <w:rsid w:val="00935130"/>
    <w:rsid w:val="00966BF2"/>
    <w:rsid w:val="00976B68"/>
    <w:rsid w:val="009A0CF9"/>
    <w:rsid w:val="009D2300"/>
    <w:rsid w:val="009E14BC"/>
    <w:rsid w:val="009E28AB"/>
    <w:rsid w:val="00AC76A2"/>
    <w:rsid w:val="00AF16EE"/>
    <w:rsid w:val="00B2335D"/>
    <w:rsid w:val="00BC0B0C"/>
    <w:rsid w:val="00BD08BD"/>
    <w:rsid w:val="00C03F4C"/>
    <w:rsid w:val="00C23974"/>
    <w:rsid w:val="00C34D67"/>
    <w:rsid w:val="00C77BCC"/>
    <w:rsid w:val="00C8605A"/>
    <w:rsid w:val="00C86733"/>
    <w:rsid w:val="00C90F50"/>
    <w:rsid w:val="00CD4513"/>
    <w:rsid w:val="00D45706"/>
    <w:rsid w:val="00D568E9"/>
    <w:rsid w:val="00D810DB"/>
    <w:rsid w:val="00DB1600"/>
    <w:rsid w:val="00DB1E7F"/>
    <w:rsid w:val="00E00A0C"/>
    <w:rsid w:val="00EA142C"/>
    <w:rsid w:val="00EE7AD7"/>
    <w:rsid w:val="00F01E70"/>
    <w:rsid w:val="00F215C8"/>
    <w:rsid w:val="00F35ED3"/>
    <w:rsid w:val="00F543CF"/>
    <w:rsid w:val="00F60C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443"/>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D4F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D4F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4F17"/>
    <w:rPr>
      <w:rFonts w:ascii="Tahoma" w:hAnsi="Tahoma" w:cs="Tahoma"/>
      <w:sz w:val="16"/>
      <w:szCs w:val="16"/>
    </w:rPr>
  </w:style>
  <w:style w:type="character" w:styleId="Textodelmarcadordeposicin">
    <w:name w:val="Placeholder Text"/>
    <w:basedOn w:val="Fuentedeprrafopredeter"/>
    <w:uiPriority w:val="99"/>
    <w:semiHidden/>
    <w:rsid w:val="003D4F17"/>
    <w:rPr>
      <w:color w:val="808080"/>
    </w:rPr>
  </w:style>
  <w:style w:type="paragraph" w:customStyle="1" w:styleId="Programa">
    <w:name w:val="Programa"/>
    <w:link w:val="ProgramaCar"/>
    <w:autoRedefine/>
    <w:qFormat/>
    <w:rsid w:val="008D2E59"/>
    <w:pPr>
      <w:spacing w:after="0" w:line="180" w:lineRule="exact"/>
    </w:pPr>
    <w:rPr>
      <w:rFonts w:ascii="Gill Sans MT" w:hAnsi="Gill Sans MT"/>
      <w:sz w:val="16"/>
    </w:rPr>
  </w:style>
  <w:style w:type="paragraph" w:customStyle="1" w:styleId="Ao">
    <w:name w:val="Año"/>
    <w:basedOn w:val="Normal"/>
    <w:link w:val="AoCar"/>
    <w:autoRedefine/>
    <w:qFormat/>
    <w:rsid w:val="00F35ED3"/>
    <w:pPr>
      <w:spacing w:after="0" w:line="180" w:lineRule="exact"/>
    </w:pPr>
    <w:rPr>
      <w:rFonts w:ascii="Gill Sans MT" w:hAnsi="Gill Sans MT"/>
    </w:rPr>
  </w:style>
  <w:style w:type="paragraph" w:customStyle="1" w:styleId="Numero">
    <w:name w:val="Numero"/>
    <w:link w:val="NumeroCar"/>
    <w:autoRedefine/>
    <w:qFormat/>
    <w:rsid w:val="008D2E59"/>
    <w:pPr>
      <w:spacing w:after="0" w:line="180" w:lineRule="exact"/>
    </w:pPr>
    <w:rPr>
      <w:rFonts w:ascii="Gill Sans MT" w:hAnsi="Gill Sans MT"/>
      <w:b/>
      <w:sz w:val="14"/>
    </w:rPr>
  </w:style>
  <w:style w:type="character" w:customStyle="1" w:styleId="ProgramaCar">
    <w:name w:val="Programa Car"/>
    <w:basedOn w:val="Fuentedeprrafopredeter"/>
    <w:link w:val="Programa"/>
    <w:rsid w:val="008D2E59"/>
    <w:rPr>
      <w:rFonts w:ascii="Gill Sans MT" w:hAnsi="Gill Sans MT"/>
      <w:sz w:val="16"/>
    </w:rPr>
  </w:style>
  <w:style w:type="character" w:customStyle="1" w:styleId="AoCar">
    <w:name w:val="Año Car"/>
    <w:basedOn w:val="Fuentedeprrafopredeter"/>
    <w:link w:val="Ao"/>
    <w:rsid w:val="00F35ED3"/>
    <w:rPr>
      <w:rFonts w:ascii="Gill Sans MT" w:hAnsi="Gill Sans MT"/>
    </w:rPr>
  </w:style>
  <w:style w:type="paragraph" w:styleId="Encabezado">
    <w:name w:val="header"/>
    <w:basedOn w:val="Normal"/>
    <w:link w:val="EncabezadoCar"/>
    <w:uiPriority w:val="99"/>
    <w:unhideWhenUsed/>
    <w:rsid w:val="006D69D7"/>
    <w:pPr>
      <w:tabs>
        <w:tab w:val="center" w:pos="4419"/>
        <w:tab w:val="right" w:pos="8838"/>
      </w:tabs>
      <w:spacing w:after="0" w:line="240" w:lineRule="auto"/>
    </w:pPr>
  </w:style>
  <w:style w:type="paragraph" w:customStyle="1" w:styleId="Area">
    <w:name w:val="Area"/>
    <w:link w:val="AreaCar"/>
    <w:autoRedefine/>
    <w:qFormat/>
    <w:rsid w:val="008D2E59"/>
    <w:pPr>
      <w:spacing w:after="0" w:line="180" w:lineRule="exact"/>
      <w:jc w:val="right"/>
    </w:pPr>
    <w:rPr>
      <w:rFonts w:ascii="Gill Sans MT" w:hAnsi="Gill Sans MT"/>
      <w:i/>
      <w:sz w:val="16"/>
    </w:rPr>
  </w:style>
  <w:style w:type="character" w:customStyle="1" w:styleId="EncabezadoCar">
    <w:name w:val="Encabezado Car"/>
    <w:basedOn w:val="Fuentedeprrafopredeter"/>
    <w:link w:val="Encabezado"/>
    <w:uiPriority w:val="99"/>
    <w:rsid w:val="006D69D7"/>
  </w:style>
  <w:style w:type="paragraph" w:styleId="Piedepgina">
    <w:name w:val="footer"/>
    <w:basedOn w:val="Normal"/>
    <w:link w:val="PiedepginaCar"/>
    <w:uiPriority w:val="99"/>
    <w:unhideWhenUsed/>
    <w:rsid w:val="006D69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69D7"/>
  </w:style>
  <w:style w:type="character" w:customStyle="1" w:styleId="NumeroCar">
    <w:name w:val="Numero Car"/>
    <w:basedOn w:val="Fuentedeprrafopredeter"/>
    <w:link w:val="Numero"/>
    <w:rsid w:val="008D2E59"/>
    <w:rPr>
      <w:rFonts w:ascii="Gill Sans MT" w:hAnsi="Gill Sans MT"/>
      <w:b/>
      <w:sz w:val="14"/>
    </w:rPr>
  </w:style>
  <w:style w:type="character" w:customStyle="1" w:styleId="AreaCar">
    <w:name w:val="Area Car"/>
    <w:basedOn w:val="Fuentedeprrafopredeter"/>
    <w:link w:val="Area"/>
    <w:rsid w:val="008D2E59"/>
    <w:rPr>
      <w:rFonts w:ascii="Gill Sans MT" w:hAnsi="Gill Sans MT"/>
      <w:i/>
      <w:sz w:val="16"/>
    </w:rPr>
  </w:style>
  <w:style w:type="paragraph" w:styleId="Prrafodelista">
    <w:name w:val="List Paragraph"/>
    <w:basedOn w:val="Normal"/>
    <w:uiPriority w:val="34"/>
    <w:qFormat/>
    <w:rsid w:val="008D68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443"/>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D4F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D4F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D4F17"/>
    <w:rPr>
      <w:rFonts w:ascii="Tahoma" w:hAnsi="Tahoma" w:cs="Tahoma"/>
      <w:sz w:val="16"/>
      <w:szCs w:val="16"/>
    </w:rPr>
  </w:style>
  <w:style w:type="character" w:styleId="Textodelmarcadordeposicin">
    <w:name w:val="Placeholder Text"/>
    <w:basedOn w:val="Fuentedeprrafopredeter"/>
    <w:uiPriority w:val="99"/>
    <w:semiHidden/>
    <w:rsid w:val="003D4F17"/>
    <w:rPr>
      <w:color w:val="808080"/>
    </w:rPr>
  </w:style>
  <w:style w:type="paragraph" w:customStyle="1" w:styleId="Programa">
    <w:name w:val="Programa"/>
    <w:link w:val="ProgramaCar"/>
    <w:autoRedefine/>
    <w:qFormat/>
    <w:rsid w:val="008D2E59"/>
    <w:pPr>
      <w:spacing w:after="0" w:line="180" w:lineRule="exact"/>
    </w:pPr>
    <w:rPr>
      <w:rFonts w:ascii="Gill Sans MT" w:hAnsi="Gill Sans MT"/>
      <w:sz w:val="16"/>
    </w:rPr>
  </w:style>
  <w:style w:type="paragraph" w:customStyle="1" w:styleId="Ao">
    <w:name w:val="Año"/>
    <w:basedOn w:val="Normal"/>
    <w:link w:val="AoCar"/>
    <w:autoRedefine/>
    <w:qFormat/>
    <w:rsid w:val="00F35ED3"/>
    <w:pPr>
      <w:spacing w:after="0" w:line="180" w:lineRule="exact"/>
    </w:pPr>
    <w:rPr>
      <w:rFonts w:ascii="Gill Sans MT" w:hAnsi="Gill Sans MT"/>
    </w:rPr>
  </w:style>
  <w:style w:type="paragraph" w:customStyle="1" w:styleId="Numero">
    <w:name w:val="Numero"/>
    <w:link w:val="NumeroCar"/>
    <w:autoRedefine/>
    <w:qFormat/>
    <w:rsid w:val="008D2E59"/>
    <w:pPr>
      <w:spacing w:after="0" w:line="180" w:lineRule="exact"/>
    </w:pPr>
    <w:rPr>
      <w:rFonts w:ascii="Gill Sans MT" w:hAnsi="Gill Sans MT"/>
      <w:b/>
      <w:sz w:val="14"/>
    </w:rPr>
  </w:style>
  <w:style w:type="character" w:customStyle="1" w:styleId="ProgramaCar">
    <w:name w:val="Programa Car"/>
    <w:basedOn w:val="Fuentedeprrafopredeter"/>
    <w:link w:val="Programa"/>
    <w:rsid w:val="008D2E59"/>
    <w:rPr>
      <w:rFonts w:ascii="Gill Sans MT" w:hAnsi="Gill Sans MT"/>
      <w:sz w:val="16"/>
    </w:rPr>
  </w:style>
  <w:style w:type="character" w:customStyle="1" w:styleId="AoCar">
    <w:name w:val="Año Car"/>
    <w:basedOn w:val="Fuentedeprrafopredeter"/>
    <w:link w:val="Ao"/>
    <w:rsid w:val="00F35ED3"/>
    <w:rPr>
      <w:rFonts w:ascii="Gill Sans MT" w:hAnsi="Gill Sans MT"/>
    </w:rPr>
  </w:style>
  <w:style w:type="paragraph" w:styleId="Encabezado">
    <w:name w:val="header"/>
    <w:basedOn w:val="Normal"/>
    <w:link w:val="EncabezadoCar"/>
    <w:uiPriority w:val="99"/>
    <w:unhideWhenUsed/>
    <w:rsid w:val="006D69D7"/>
    <w:pPr>
      <w:tabs>
        <w:tab w:val="center" w:pos="4419"/>
        <w:tab w:val="right" w:pos="8838"/>
      </w:tabs>
      <w:spacing w:after="0" w:line="240" w:lineRule="auto"/>
    </w:pPr>
  </w:style>
  <w:style w:type="paragraph" w:customStyle="1" w:styleId="Area">
    <w:name w:val="Area"/>
    <w:link w:val="AreaCar"/>
    <w:autoRedefine/>
    <w:qFormat/>
    <w:rsid w:val="008D2E59"/>
    <w:pPr>
      <w:spacing w:after="0" w:line="180" w:lineRule="exact"/>
      <w:jc w:val="right"/>
    </w:pPr>
    <w:rPr>
      <w:rFonts w:ascii="Gill Sans MT" w:hAnsi="Gill Sans MT"/>
      <w:i/>
      <w:sz w:val="16"/>
    </w:rPr>
  </w:style>
  <w:style w:type="character" w:customStyle="1" w:styleId="EncabezadoCar">
    <w:name w:val="Encabezado Car"/>
    <w:basedOn w:val="Fuentedeprrafopredeter"/>
    <w:link w:val="Encabezado"/>
    <w:uiPriority w:val="99"/>
    <w:rsid w:val="006D69D7"/>
  </w:style>
  <w:style w:type="paragraph" w:styleId="Piedepgina">
    <w:name w:val="footer"/>
    <w:basedOn w:val="Normal"/>
    <w:link w:val="PiedepginaCar"/>
    <w:uiPriority w:val="99"/>
    <w:unhideWhenUsed/>
    <w:rsid w:val="006D69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69D7"/>
  </w:style>
  <w:style w:type="character" w:customStyle="1" w:styleId="NumeroCar">
    <w:name w:val="Numero Car"/>
    <w:basedOn w:val="Fuentedeprrafopredeter"/>
    <w:link w:val="Numero"/>
    <w:rsid w:val="008D2E59"/>
    <w:rPr>
      <w:rFonts w:ascii="Gill Sans MT" w:hAnsi="Gill Sans MT"/>
      <w:b/>
      <w:sz w:val="14"/>
    </w:rPr>
  </w:style>
  <w:style w:type="character" w:customStyle="1" w:styleId="AreaCar">
    <w:name w:val="Area Car"/>
    <w:basedOn w:val="Fuentedeprrafopredeter"/>
    <w:link w:val="Area"/>
    <w:rsid w:val="008D2E59"/>
    <w:rPr>
      <w:rFonts w:ascii="Gill Sans MT" w:hAnsi="Gill Sans MT"/>
      <w:i/>
      <w:sz w:val="16"/>
    </w:rPr>
  </w:style>
  <w:style w:type="paragraph" w:styleId="Prrafodelista">
    <w:name w:val="List Paragraph"/>
    <w:basedOn w:val="Normal"/>
    <w:uiPriority w:val="34"/>
    <w:qFormat/>
    <w:rsid w:val="008D68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PIFI\PIFI%202014-2015\PAPE\Membre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D44A69E524F0246B2A0BB1B499E06F5" ma:contentTypeVersion="0" ma:contentTypeDescription="Crear nuevo documento." ma:contentTypeScope="" ma:versionID="e58e0ca2478ec2c2c9086308667526a3">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0587C-B365-4101-BE4D-1F3D1FD275DB}">
  <ds:schemaRefs>
    <ds:schemaRef ds:uri="http://schemas.microsoft.com/sharepoint/v3/contenttype/forms"/>
  </ds:schemaRefs>
</ds:datastoreItem>
</file>

<file path=customXml/itemProps2.xml><?xml version="1.0" encoding="utf-8"?>
<ds:datastoreItem xmlns:ds="http://schemas.openxmlformats.org/officeDocument/2006/customXml" ds:itemID="{E5A0AA72-B2C6-4C4E-A4A3-B23EF0A49A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8F1817-55EF-4833-9D8F-C9B82B656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CF73EFF-B314-45E2-9802-DC5C3922B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Membrete.dotx</Template>
  <TotalTime>6</TotalTime>
  <Pages>10</Pages>
  <Words>3244</Words>
  <Characters>17842</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UV</dc:creator>
  <cp:lastModifiedBy>Hernandez Cobos Vicente Ramiro</cp:lastModifiedBy>
  <cp:revision>4</cp:revision>
  <cp:lastPrinted>2014-02-27T00:20:00Z</cp:lastPrinted>
  <dcterms:created xsi:type="dcterms:W3CDTF">2014-04-01T19:47:00Z</dcterms:created>
  <dcterms:modified xsi:type="dcterms:W3CDTF">2014-04-02T16:50:00Z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0x010100BD44A69E524F0246B2A0BB1B499E06F5</vt:lpwstr>
  </property>
</Properties>
</file>