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1F" w:rsidRDefault="00A1681F">
      <w:pPr>
        <w:pStyle w:val="Standard"/>
        <w:tabs>
          <w:tab w:val="right" w:pos="9497"/>
        </w:tabs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oBack"/>
      <w:bookmarkEnd w:id="0"/>
    </w:p>
    <w:tbl>
      <w:tblPr>
        <w:tblW w:w="100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1"/>
        <w:gridCol w:w="5896"/>
      </w:tblGrid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Cuerpo Académico / Individual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Individual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Proyecto de Investigación / Vinculación / PLADEA-FEI / No registrado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registrado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LGAC que alimenta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Línea de Investigación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Duración aproximada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meses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Modalidad de </w:t>
            </w: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Monografía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Nombre del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Límites y retos de la criptografía moderna ante el cómputo cuántico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Requisitos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Seguridad</w:t>
            </w:r>
          </w:p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Criptografía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Responsables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Dr. Héctor Xavier Limón Riaño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Codirector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Dr. Ángel Juan Sánchez García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Alumnos participantes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Arial" w:eastAsia="Arial Narrow" w:hAnsi="Arial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color w:val="000000"/>
                <w:sz w:val="22"/>
                <w:szCs w:val="22"/>
              </w:rPr>
              <w:t>Uno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Proyecto de Investigación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 xml:space="preserve">La seguridad en servicios de red es un tema de suma importancia cuyo impacto se ve reflejado en la reciente </w:t>
            </w:r>
            <w:proofErr w:type="spellStart"/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currícula</w:t>
            </w:r>
            <w:proofErr w:type="spellEnd"/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 xml:space="preserve"> de la ACM sobre </w:t>
            </w: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ciberseguridad, destacándose la necesidad de formar a los nuevos profesionistas de esta área, puesto cuya demanda se encuentra y encontrará en creciente aumento en los próximos años.</w:t>
            </w:r>
          </w:p>
          <w:p w:rsidR="00A1681F" w:rsidRDefault="00A1681F">
            <w:pPr>
              <w:pStyle w:val="Standard"/>
              <w:rPr>
                <w:rFonts w:ascii="Roboto, Arial, sans-serif" w:hAnsi="Roboto, Arial, sans-serif"/>
                <w:color w:val="202124"/>
                <w:sz w:val="25"/>
                <w:szCs w:val="22"/>
              </w:rPr>
            </w:pPr>
          </w:p>
          <w:p w:rsidR="00A1681F" w:rsidRDefault="000D66EB">
            <w:pPr>
              <w:pStyle w:val="Standard"/>
              <w:widowControl w:val="0"/>
              <w:spacing w:line="247" w:lineRule="auto"/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Desde un punto de vista académico, debe buscarse la investigación y gene</w:t>
            </w: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 xml:space="preserve">ración de conocimientos referentes a temas de impacto social actual como es el caso de ciberseguridad en todos los aspectos que conlleva, haciendo especial </w:t>
            </w:r>
            <w:proofErr w:type="spellStart"/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incapié</w:t>
            </w:r>
            <w:proofErr w:type="spellEnd"/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 xml:space="preserve"> en nuevos desarrollos y tendencias, para mantenerse al ritmo del avance de esta área en crec</w:t>
            </w: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 xml:space="preserve">iente y constante expansión.    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Descripción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Roboto, Arial, sans-serif" w:hAnsi="Roboto, Arial, sans-serif"/>
                <w:color w:val="202124"/>
                <w:sz w:val="25"/>
                <w:szCs w:val="25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 xml:space="preserve">En la actualidad los métodos criptográficos juegan un papel central en la confidencialidad, integridad y autenticidad de los datos de la gran mayoría de los servicios y aplicaciones en </w:t>
            </w:r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 xml:space="preserve">red, así como de los propios sistemas operativos.  Con la llegada de las primeras computadoras basadas en cómputo cuántico, </w:t>
            </w:r>
            <w:proofErr w:type="gramStart"/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>que</w:t>
            </w:r>
            <w:proofErr w:type="gramEnd"/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 xml:space="preserve"> si bien aún no han alcanzado su máximo potencial ni llegado de forma práctica al mercado, se comienza a tomar seriamente el prob</w:t>
            </w:r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>lema de sobrepasar la seguridad de los métodos criptográficos modernos, dando pie a lo que algunos autores denominan como “apocalipsis cuántico”.</w:t>
            </w:r>
          </w:p>
          <w:p w:rsidR="00A1681F" w:rsidRDefault="00A1681F">
            <w:pPr>
              <w:pStyle w:val="Standard"/>
              <w:rPr>
                <w:rFonts w:ascii="Roboto, Arial, sans-serif" w:hAnsi="Roboto, Arial, sans-serif"/>
                <w:color w:val="202124"/>
                <w:sz w:val="25"/>
                <w:szCs w:val="22"/>
              </w:rPr>
            </w:pPr>
          </w:p>
          <w:p w:rsidR="00A1681F" w:rsidRDefault="000D66EB">
            <w:pPr>
              <w:pStyle w:val="Standard"/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 xml:space="preserve">En este trabajo de investigación se plantea realizar una revisión sistemática de la literatura, donde se </w:t>
            </w: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cubran los siguientes aspectos referentes a las implicaciones del cómputo cuántico en el contexto de criptografía:</w:t>
            </w:r>
          </w:p>
          <w:p w:rsidR="00A1681F" w:rsidRDefault="000D66EB">
            <w:pPr>
              <w:pStyle w:val="Standard"/>
              <w:numPr>
                <w:ilvl w:val="0"/>
                <w:numId w:val="1"/>
              </w:numPr>
              <w:rPr>
                <w:rFonts w:ascii="Roboto, Arial, sans-serif" w:hAnsi="Roboto, Arial, sans-serif"/>
                <w:color w:val="202124"/>
                <w:sz w:val="25"/>
                <w:szCs w:val="22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Métodos y tecnologías criptográficas que se verán afectadas</w:t>
            </w:r>
          </w:p>
          <w:p w:rsidR="00A1681F" w:rsidRDefault="000D66EB">
            <w:pPr>
              <w:pStyle w:val="Standard"/>
              <w:numPr>
                <w:ilvl w:val="0"/>
                <w:numId w:val="1"/>
              </w:numPr>
              <w:rPr>
                <w:rFonts w:ascii="Roboto, Arial, sans-serif" w:hAnsi="Roboto, Arial, sans-serif"/>
                <w:color w:val="202124"/>
                <w:sz w:val="25"/>
                <w:szCs w:val="22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Impacto social</w:t>
            </w:r>
          </w:p>
          <w:p w:rsidR="00A1681F" w:rsidRDefault="000D66EB">
            <w:pPr>
              <w:pStyle w:val="Standard"/>
              <w:numPr>
                <w:ilvl w:val="0"/>
                <w:numId w:val="1"/>
              </w:numPr>
              <w:rPr>
                <w:rFonts w:ascii="Roboto, Arial, sans-serif" w:hAnsi="Roboto, Arial, sans-serif"/>
                <w:color w:val="202124"/>
                <w:sz w:val="25"/>
                <w:szCs w:val="22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Impacto de seguridad en los sistemas modernos</w:t>
            </w:r>
          </w:p>
          <w:p w:rsidR="00A1681F" w:rsidRDefault="000D66EB">
            <w:pPr>
              <w:pStyle w:val="Standard"/>
              <w:numPr>
                <w:ilvl w:val="0"/>
                <w:numId w:val="1"/>
              </w:numPr>
              <w:rPr>
                <w:rFonts w:ascii="Roboto, Arial, sans-serif" w:hAnsi="Roboto, Arial, sans-serif"/>
                <w:color w:val="202124"/>
                <w:sz w:val="25"/>
                <w:szCs w:val="22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Propuestas de mitiga</w:t>
            </w: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ción y nuevos métodos criptográficos</w:t>
            </w:r>
          </w:p>
          <w:p w:rsidR="00A1681F" w:rsidRDefault="000D66EB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Roboto, Arial, sans-serif" w:hAnsi="Roboto, Arial, sans-serif"/>
                <w:color w:val="202124"/>
                <w:sz w:val="25"/>
                <w:szCs w:val="22"/>
              </w:rPr>
              <w:t>Áreas de oportunidad y retos abiertos</w:t>
            </w:r>
            <w:r>
              <w:br/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lastRenderedPageBreak/>
              <w:t>Resultados esperados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rPr>
                <w:rFonts w:ascii="Roboto, Arial, sans-serif" w:hAnsi="Roboto, Arial, sans-serif"/>
                <w:color w:val="202124"/>
                <w:sz w:val="25"/>
                <w:szCs w:val="25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>Trabajo escrito con investigación que de fundamento a la revisión sistemática realizada.</w:t>
            </w:r>
          </w:p>
          <w:p w:rsidR="00A1681F" w:rsidRDefault="000D66EB">
            <w:pPr>
              <w:pStyle w:val="Standard"/>
              <w:rPr>
                <w:rFonts w:ascii="Roboto, Arial, sans-serif" w:hAnsi="Roboto, Arial, sans-serif"/>
                <w:color w:val="202124"/>
                <w:sz w:val="25"/>
                <w:szCs w:val="25"/>
              </w:rPr>
            </w:pPr>
            <w:r>
              <w:rPr>
                <w:rFonts w:ascii="Roboto, Arial, sans-serif" w:hAnsi="Roboto, Arial, sans-serif"/>
                <w:color w:val="202124"/>
                <w:sz w:val="25"/>
                <w:szCs w:val="25"/>
              </w:rPr>
              <w:t>Artículo con hallazgos.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Bibliografía recomendada</w:t>
            </w: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</w:pPr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Bennett, C. </w:t>
            </w:r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H.,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Brassard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, G., &amp;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Ekert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, A. K. (1992). Quantum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cryptography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. </w:t>
            </w:r>
            <w:proofErr w:type="spellStart"/>
            <w:r>
              <w:rPr>
                <w:rFonts w:ascii="Arial, sans-serif" w:hAnsi="Arial, sans-serif"/>
                <w:i/>
                <w:color w:val="222222"/>
                <w:sz w:val="20"/>
                <w:szCs w:val="20"/>
              </w:rPr>
              <w:t>Scientific</w:t>
            </w:r>
            <w:proofErr w:type="spellEnd"/>
            <w:r>
              <w:rPr>
                <w:rFonts w:ascii="Arial, sans-serif" w:hAnsi="Arial, sans-serif"/>
                <w:i/>
                <w:color w:val="222222"/>
                <w:sz w:val="20"/>
                <w:szCs w:val="20"/>
              </w:rPr>
              <w:t xml:space="preserve"> American</w:t>
            </w:r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, </w:t>
            </w:r>
            <w:r>
              <w:rPr>
                <w:rFonts w:ascii="Arial, sans-serif" w:hAnsi="Arial, sans-serif"/>
                <w:i/>
                <w:color w:val="222222"/>
                <w:sz w:val="20"/>
                <w:szCs w:val="20"/>
              </w:rPr>
              <w:t>267</w:t>
            </w:r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(4), 50-57.</w:t>
            </w:r>
          </w:p>
          <w:p w:rsidR="00A1681F" w:rsidRDefault="000D66EB">
            <w:pPr>
              <w:pStyle w:val="Standard"/>
            </w:pP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Furrer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, F. J. Roger A.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Grimes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Cryptography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Apocalypse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Preparing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for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the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Day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When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Quantum Computing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Breaks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Today’s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Crypto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. </w:t>
            </w:r>
            <w:proofErr w:type="spellStart"/>
            <w:r>
              <w:rPr>
                <w:rFonts w:ascii="Arial, sans-serif" w:hAnsi="Arial, sans-serif"/>
                <w:i/>
                <w:color w:val="222222"/>
                <w:sz w:val="20"/>
                <w:szCs w:val="20"/>
              </w:rPr>
              <w:t>Informatik</w:t>
            </w:r>
            <w:proofErr w:type="spellEnd"/>
            <w:r>
              <w:rPr>
                <w:rFonts w:ascii="Arial, sans-serif" w:hAnsi="Arial, sans-serif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i/>
                <w:color w:val="222222"/>
                <w:sz w:val="20"/>
                <w:szCs w:val="20"/>
              </w:rPr>
              <w:t>Spektrum</w:t>
            </w:r>
            <w:proofErr w:type="spellEnd"/>
            <w:r>
              <w:rPr>
                <w:rFonts w:ascii="Arial, sans-serif" w:hAnsi="Arial, sans-serif"/>
                <w:color w:val="222222"/>
                <w:sz w:val="20"/>
                <w:szCs w:val="20"/>
              </w:rPr>
              <w:t>, 1-3.</w:t>
            </w:r>
          </w:p>
          <w:p w:rsidR="00A1681F" w:rsidRDefault="000D66EB">
            <w:pPr>
              <w:pStyle w:val="Standard"/>
            </w:pPr>
            <w:r>
              <w:rPr>
                <w:rFonts w:ascii="Arial, sans-serif" w:hAnsi="Arial, sans-serif"/>
                <w:color w:val="222222"/>
                <w:sz w:val="19"/>
              </w:rPr>
              <w:t>Bernste</w:t>
            </w:r>
            <w:r>
              <w:rPr>
                <w:rFonts w:ascii="Arial, sans-serif" w:hAnsi="Arial, sans-serif"/>
                <w:color w:val="222222"/>
                <w:sz w:val="19"/>
              </w:rPr>
              <w:t xml:space="preserve">in, D. J. (2009). </w:t>
            </w:r>
            <w:proofErr w:type="spellStart"/>
            <w:r>
              <w:rPr>
                <w:rFonts w:ascii="Arial, sans-serif" w:hAnsi="Arial, sans-serif"/>
                <w:color w:val="222222"/>
                <w:sz w:val="19"/>
              </w:rPr>
              <w:t>Introduction</w:t>
            </w:r>
            <w:proofErr w:type="spellEnd"/>
            <w:r>
              <w:rPr>
                <w:rFonts w:ascii="Arial, sans-serif" w:hAnsi="Arial, sans-serif"/>
                <w:color w:val="222222"/>
                <w:sz w:val="19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19"/>
              </w:rPr>
              <w:t>to</w:t>
            </w:r>
            <w:proofErr w:type="spellEnd"/>
            <w:r>
              <w:rPr>
                <w:rFonts w:ascii="Arial, sans-serif" w:hAnsi="Arial, sans-serif"/>
                <w:color w:val="222222"/>
                <w:sz w:val="19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19"/>
              </w:rPr>
              <w:t>post-quantum</w:t>
            </w:r>
            <w:proofErr w:type="spellEnd"/>
            <w:r>
              <w:rPr>
                <w:rFonts w:ascii="Arial, sans-serif" w:hAnsi="Arial, sans-serif"/>
                <w:color w:val="222222"/>
                <w:sz w:val="19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color w:val="222222"/>
                <w:sz w:val="19"/>
              </w:rPr>
              <w:t>cryptography</w:t>
            </w:r>
            <w:proofErr w:type="spellEnd"/>
            <w:r>
              <w:rPr>
                <w:rFonts w:ascii="Arial, sans-serif" w:hAnsi="Arial, sans-serif"/>
                <w:color w:val="222222"/>
                <w:sz w:val="19"/>
              </w:rPr>
              <w:t>. In </w:t>
            </w:r>
            <w:proofErr w:type="spellStart"/>
            <w:r>
              <w:rPr>
                <w:rFonts w:ascii="Arial, sans-serif" w:hAnsi="Arial, sans-serif"/>
                <w:i/>
                <w:color w:val="222222"/>
                <w:sz w:val="19"/>
              </w:rPr>
              <w:t>Post-quantum</w:t>
            </w:r>
            <w:proofErr w:type="spellEnd"/>
            <w:r>
              <w:rPr>
                <w:rFonts w:ascii="Arial, sans-serif" w:hAnsi="Arial, sans-serif"/>
                <w:i/>
                <w:color w:val="222222"/>
                <w:sz w:val="19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i/>
                <w:color w:val="222222"/>
                <w:sz w:val="19"/>
              </w:rPr>
              <w:t>cryptography</w:t>
            </w:r>
            <w:proofErr w:type="spellEnd"/>
            <w:r>
              <w:rPr>
                <w:color w:val="222222"/>
              </w:rPr>
              <w:t> </w:t>
            </w:r>
            <w:r>
              <w:rPr>
                <w:rFonts w:ascii="Arial, sans-serif" w:hAnsi="Arial, sans-serif"/>
                <w:color w:val="222222"/>
                <w:sz w:val="19"/>
              </w:rPr>
              <w:t xml:space="preserve">(pp. 1-14). Springer, </w:t>
            </w:r>
            <w:proofErr w:type="spellStart"/>
            <w:r>
              <w:rPr>
                <w:rFonts w:ascii="Arial, sans-serif" w:hAnsi="Arial, sans-serif"/>
                <w:color w:val="222222"/>
                <w:sz w:val="19"/>
              </w:rPr>
              <w:t>Berlin</w:t>
            </w:r>
            <w:proofErr w:type="spellEnd"/>
            <w:r>
              <w:rPr>
                <w:rFonts w:ascii="Arial, sans-serif" w:hAnsi="Arial, sans-serif"/>
                <w:color w:val="222222"/>
                <w:sz w:val="19"/>
              </w:rPr>
              <w:t>, Heidelberg.</w:t>
            </w:r>
          </w:p>
        </w:tc>
      </w:tr>
    </w:tbl>
    <w:p w:rsidR="00A1681F" w:rsidRDefault="000D66EB">
      <w:pPr>
        <w:pStyle w:val="Standard"/>
        <w:jc w:val="center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Xalapa, Ver., a</w:t>
      </w:r>
      <w:r>
        <w:rPr>
          <w:rFonts w:ascii="Arial Narrow" w:eastAsia="Arial Narrow" w:hAnsi="Arial Narrow" w:cs="Arial Narrow"/>
          <w:color w:val="CCCCCC"/>
          <w:sz w:val="20"/>
          <w:szCs w:val="20"/>
        </w:rPr>
        <w:t xml:space="preserve"> fecha</w:t>
      </w:r>
    </w:p>
    <w:tbl>
      <w:tblPr>
        <w:tblW w:w="7880" w:type="dxa"/>
        <w:tblInd w:w="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283"/>
        <w:gridCol w:w="3795"/>
      </w:tblGrid>
      <w:tr w:rsidR="00A1681F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681F" w:rsidRDefault="000D66EB">
            <w:pPr>
              <w:pStyle w:val="Standard"/>
              <w:jc w:val="center"/>
            </w:pPr>
            <w:r>
              <w:t xml:space="preserve">  </w:t>
            </w:r>
          </w:p>
        </w:tc>
        <w:tc>
          <w:tcPr>
            <w:tcW w:w="3795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y firma del director del trabajo</w:t>
            </w:r>
          </w:p>
        </w:tc>
        <w:tc>
          <w:tcPr>
            <w:tcW w:w="283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Nombre y firma del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co-director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del trabajo</w:t>
            </w:r>
          </w:p>
        </w:tc>
      </w:tr>
    </w:tbl>
    <w:p w:rsidR="00A1681F" w:rsidRDefault="00A1681F">
      <w:pPr>
        <w:pStyle w:val="Standard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394"/>
        <w:gridCol w:w="4369"/>
      </w:tblGrid>
      <w:tr w:rsidR="00A1681F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Vo.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Bo.</w:t>
            </w:r>
          </w:p>
          <w:p w:rsidR="00A1681F" w:rsidRDefault="00A1681F">
            <w:pPr>
              <w:pStyle w:val="Standard"/>
              <w:jc w:val="center"/>
            </w:pPr>
          </w:p>
          <w:p w:rsidR="00A1681F" w:rsidRDefault="00A1681F">
            <w:pPr>
              <w:pStyle w:val="Standard"/>
              <w:jc w:val="center"/>
            </w:pP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Vo. Bo.</w:t>
            </w:r>
          </w:p>
          <w:p w:rsidR="00A1681F" w:rsidRDefault="00A1681F">
            <w:pPr>
              <w:pStyle w:val="Standard"/>
              <w:jc w:val="center"/>
            </w:pPr>
          </w:p>
        </w:tc>
      </w:tr>
      <w:tr w:rsidR="00A1681F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Responsable</w:t>
            </w:r>
            <w:proofErr w:type="gramEnd"/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 xml:space="preserve"> del CA si aplica, en otro caso nombre y firma del Director de la Facultad</w:t>
            </w: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A1681F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81F" w:rsidRDefault="000D66EB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Coordinador de Academia Servicio Social y Practicas de Redes</w:t>
            </w:r>
          </w:p>
        </w:tc>
      </w:tr>
    </w:tbl>
    <w:p w:rsidR="00A1681F" w:rsidRDefault="00A1681F">
      <w:pPr>
        <w:pStyle w:val="Standard"/>
        <w:jc w:val="both"/>
      </w:pPr>
    </w:p>
    <w:sectPr w:rsidR="00A1681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EB" w:rsidRDefault="000D66EB">
      <w:r>
        <w:separator/>
      </w:r>
    </w:p>
  </w:endnote>
  <w:endnote w:type="continuationSeparator" w:id="0">
    <w:p w:rsidR="000D66EB" w:rsidRDefault="000D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Arial, sans-serif">
    <w:altName w:val="Arial"/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EB" w:rsidRDefault="000D66EB">
      <w:r>
        <w:rPr>
          <w:color w:val="000000"/>
        </w:rPr>
        <w:separator/>
      </w:r>
    </w:p>
  </w:footnote>
  <w:footnote w:type="continuationSeparator" w:id="0">
    <w:p w:rsidR="000D66EB" w:rsidRDefault="000D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52" w:rsidRDefault="000D66EB">
    <w:pPr>
      <w:pStyle w:val="Encabezado"/>
      <w:jc w:val="center"/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102961</wp:posOffset>
          </wp:positionH>
          <wp:positionV relativeFrom="paragraph">
            <wp:posOffset>-13322</wp:posOffset>
          </wp:positionV>
          <wp:extent cx="498604" cy="453240"/>
          <wp:effectExtent l="0" t="0" r="0" b="396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4" cy="45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5809676</wp:posOffset>
          </wp:positionH>
          <wp:positionV relativeFrom="paragraph">
            <wp:posOffset>14758</wp:posOffset>
          </wp:positionV>
          <wp:extent cx="393841" cy="380884"/>
          <wp:effectExtent l="0" t="0" r="6209" b="116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841" cy="38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Universidad Veracruzana</w:t>
    </w:r>
  </w:p>
  <w:p w:rsidR="00983D52" w:rsidRDefault="000D66EB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Facultad de Estadística e Informática</w:t>
    </w:r>
  </w:p>
  <w:p w:rsidR="00983D52" w:rsidRDefault="000D66EB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Licenciatura en Redes y Servicios de Cómputo</w:t>
    </w:r>
  </w:p>
  <w:p w:rsidR="00983D52" w:rsidRDefault="000D66EB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Anteproyecto para Experiencia </w:t>
    </w:r>
    <w:proofErr w:type="spellStart"/>
    <w:r>
      <w:rPr>
        <w:b/>
        <w:bCs/>
        <w:sz w:val="16"/>
        <w:szCs w:val="16"/>
      </w:rPr>
      <w:t>Recepcional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CB4"/>
    <w:multiLevelType w:val="multilevel"/>
    <w:tmpl w:val="A79809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81F"/>
    <w:rsid w:val="000D66EB"/>
    <w:rsid w:val="008C03DD"/>
    <w:rsid w:val="00A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FFD9E6-846C-4AFC-A448-7130277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erChar">
    <w:name w:val="Header Char"/>
    <w:basedOn w:val="Fuentedeprrafopredeter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Contreras Vega</dc:creator>
  <cp:lastModifiedBy>Perez Hernandez Angelica</cp:lastModifiedBy>
  <cp:revision>2</cp:revision>
  <dcterms:created xsi:type="dcterms:W3CDTF">2020-09-03T01:12:00Z</dcterms:created>
  <dcterms:modified xsi:type="dcterms:W3CDTF">2020-09-03T01:12:00Z</dcterms:modified>
</cp:coreProperties>
</file>