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48" w:rsidRDefault="00801A48">
      <w:pPr>
        <w:pStyle w:val="Standard"/>
        <w:tabs>
          <w:tab w:val="right" w:pos="9497"/>
        </w:tabs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</w:p>
    <w:tbl>
      <w:tblPr>
        <w:tblW w:w="100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1"/>
        <w:gridCol w:w="5896"/>
      </w:tblGrid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aplica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Seguridad, servidores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 año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Trabajo práctico técnico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Nombre del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Elaboración de una plataforma para la creación de escenarios para evaluar habilidades en seguridad de cómputo.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Seguridad, Redes, Bases de datos,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programación, administración de servidores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Responsables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Gerardo Contreras Vega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MCC Juan Carlos Pérez Arriaga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color w:val="000000"/>
                <w:sz w:val="22"/>
                <w:szCs w:val="22"/>
              </w:rPr>
              <w:t>2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La seguridad en cómputo es el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conjunto de recursos destinados a lograr que los activos de una organización, empresa, grupo o persona sean confidenciales, íntegros, consistentes y se encuentren disponibles, se requieren mecanismos de autenticación, control de acceso y auditoría. La segu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ridad implica contar con habilidades técnicas fuertes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de acuerdo a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lo que se quiere proteger y si a esto se le suma que hoy en día los entornos de empresas manejan sistemas heterogéneos, resulta que es un tema complejo y amplio para ser enseñado y aplicado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 Este proyecto tiene como objetivo desarrollar una plataforma de cómputo que permita crear escenarios para aprendizaje y evaluación de conocimientos en materia de seguridad de cómputo.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Descripción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Este trabajo tiene como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objetivo crear una plataforma que permite crear escenarios en materia de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seguridad  con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la finalidad de poder contar con esquemas definidos para la evaluación  de sus competencias en materia de seguridad en cómputo.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Resultados esperados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numPr>
                <w:ilvl w:val="0"/>
                <w:numId w:val="1"/>
              </w:numPr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Documento de la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Experiencia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Recepcional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que contenga:</w:t>
            </w:r>
          </w:p>
          <w:p w:rsidR="00801A48" w:rsidRDefault="004F041D">
            <w:pPr>
              <w:widowControl w:val="0"/>
              <w:numPr>
                <w:ilvl w:val="1"/>
                <w:numId w:val="2"/>
              </w:numPr>
              <w:autoSpaceDE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Análisis de la solución propuesta.</w:t>
            </w:r>
          </w:p>
          <w:p w:rsidR="00801A48" w:rsidRDefault="004F041D">
            <w:pPr>
              <w:widowControl w:val="0"/>
              <w:numPr>
                <w:ilvl w:val="1"/>
                <w:numId w:val="2"/>
              </w:numPr>
              <w:autoSpaceDE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Diseño de la propuesta.</w:t>
            </w:r>
          </w:p>
          <w:p w:rsidR="00801A48" w:rsidRDefault="004F041D">
            <w:pPr>
              <w:widowControl w:val="0"/>
              <w:numPr>
                <w:ilvl w:val="1"/>
                <w:numId w:val="2"/>
              </w:numPr>
              <w:autoSpaceDE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Desarrollo metodológico de la solución.</w:t>
            </w:r>
          </w:p>
          <w:p w:rsidR="00801A48" w:rsidRDefault="004F041D">
            <w:pPr>
              <w:widowControl w:val="0"/>
              <w:numPr>
                <w:ilvl w:val="0"/>
                <w:numId w:val="2"/>
              </w:numPr>
              <w:autoSpaceDE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Aplicación y código fuente.</w:t>
            </w:r>
          </w:p>
          <w:p w:rsidR="00801A48" w:rsidRDefault="004F041D">
            <w:pPr>
              <w:widowControl w:val="0"/>
              <w:numPr>
                <w:ilvl w:val="0"/>
                <w:numId w:val="2"/>
              </w:numPr>
              <w:autoSpaceDE w:val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Artículo en evento nacional o internacional con los resultados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del mismo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Alan C., Jun H.,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Malinda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 (2014).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Service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Orchestration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Organization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Morgan Kaufmann.</w:t>
            </w:r>
          </w:p>
          <w:p w:rsidR="00801A48" w:rsidRDefault="004F041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Manoj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H. (2018).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Hybrid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Cloud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Developers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Packt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Publishing.</w:t>
            </w:r>
          </w:p>
          <w:p w:rsidR="00801A48" w:rsidRDefault="004F041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R. W.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Ranaviraja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K. N, Perera (2006); Next-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Gneration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Firewalls.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Imperisal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Joirnal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Interdisciplinary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(IJIR), Vol-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2,,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5, ISSN: 2454-1362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- A.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Konheim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(2007).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Security 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Criptography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Wiley. USA.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- W.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Chunying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(2010).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Security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</w:t>
            </w:r>
            <w:r>
              <w:rPr>
                <w:rFonts w:ascii="Arial" w:hAnsi="Arial"/>
                <w:sz w:val="20"/>
                <w:szCs w:val="20"/>
              </w:rPr>
              <w:t>curity</w:t>
            </w:r>
          </w:p>
          <w:p w:rsidR="00801A48" w:rsidRDefault="004F041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Active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Forces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Applications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J. Katz. (2008).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Criptography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 Chapman &amp; JALL/CRC.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L. Morales (2007).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Secuity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Foundational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HICSS.</w:t>
            </w:r>
          </w:p>
        </w:tc>
      </w:tr>
    </w:tbl>
    <w:p w:rsidR="00801A48" w:rsidRDefault="00801A48">
      <w:pPr>
        <w:pStyle w:val="Standard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01A48" w:rsidRDefault="00801A48">
      <w:pPr>
        <w:pStyle w:val="Standard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01A48" w:rsidRDefault="004F041D">
      <w:pPr>
        <w:pStyle w:val="Standard"/>
        <w:jc w:val="center"/>
        <w:rPr>
          <w:rFonts w:ascii="Arial Narrow" w:eastAsia="Arial Narrow" w:hAnsi="Arial Narrow" w:cs="Arial Narrow"/>
          <w:color w:val="CCCCCC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Xalapa, Ver., a</w:t>
      </w:r>
      <w:r>
        <w:rPr>
          <w:rFonts w:ascii="Arial Narrow" w:eastAsia="Arial Narrow" w:hAnsi="Arial Narrow" w:cs="Arial Narrow"/>
          <w:color w:val="CCCCCC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25 de junio del 2018</w:t>
      </w:r>
    </w:p>
    <w:tbl>
      <w:tblPr>
        <w:tblW w:w="7880" w:type="dxa"/>
        <w:tblInd w:w="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283"/>
        <w:gridCol w:w="3795"/>
      </w:tblGrid>
      <w:tr w:rsidR="00801A48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01A48" w:rsidRDefault="004F041D">
            <w:pPr>
              <w:pStyle w:val="Standard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Gerardo Contreras Vega</w:t>
            </w:r>
          </w:p>
        </w:tc>
        <w:tc>
          <w:tcPr>
            <w:tcW w:w="283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MCC Juan Carlos Pérez Arriaga</w:t>
            </w:r>
          </w:p>
        </w:tc>
      </w:tr>
    </w:tbl>
    <w:p w:rsidR="00801A48" w:rsidRDefault="00801A48">
      <w:pPr>
        <w:pStyle w:val="Standard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394"/>
        <w:gridCol w:w="4369"/>
      </w:tblGrid>
      <w:tr w:rsidR="00801A48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Vo. Bo.</w:t>
            </w:r>
          </w:p>
          <w:p w:rsidR="00801A48" w:rsidRDefault="00801A48">
            <w:pPr>
              <w:pStyle w:val="Standard"/>
              <w:jc w:val="center"/>
            </w:pPr>
          </w:p>
          <w:p w:rsidR="00801A48" w:rsidRDefault="00801A48">
            <w:pPr>
              <w:pStyle w:val="Standard"/>
              <w:jc w:val="center"/>
            </w:pPr>
          </w:p>
        </w:tc>
        <w:tc>
          <w:tcPr>
            <w:tcW w:w="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801A48" w:rsidRDefault="00801A48">
            <w:pPr>
              <w:pStyle w:val="Standard"/>
              <w:jc w:val="center"/>
            </w:pPr>
          </w:p>
        </w:tc>
      </w:tr>
      <w:tr w:rsidR="00801A48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MCC Carlos A. Ochoa Rivera</w:t>
            </w:r>
          </w:p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Director de la Facultad</w:t>
            </w:r>
          </w:p>
        </w:tc>
        <w:tc>
          <w:tcPr>
            <w:tcW w:w="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801A48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48" w:rsidRDefault="004F041D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</w:t>
            </w: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 de Academia Servicio Social y Practicas de Redes</w:t>
            </w:r>
          </w:p>
        </w:tc>
      </w:tr>
    </w:tbl>
    <w:p w:rsidR="00801A48" w:rsidRDefault="00801A48">
      <w:pPr>
        <w:pStyle w:val="Standard"/>
        <w:jc w:val="both"/>
      </w:pPr>
    </w:p>
    <w:sectPr w:rsidR="00801A4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1D" w:rsidRDefault="004F041D">
      <w:r>
        <w:separator/>
      </w:r>
    </w:p>
  </w:endnote>
  <w:endnote w:type="continuationSeparator" w:id="0">
    <w:p w:rsidR="004F041D" w:rsidRDefault="004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1D" w:rsidRDefault="004F041D">
      <w:r>
        <w:rPr>
          <w:color w:val="000000"/>
        </w:rPr>
        <w:separator/>
      </w:r>
    </w:p>
  </w:footnote>
  <w:footnote w:type="continuationSeparator" w:id="0">
    <w:p w:rsidR="004F041D" w:rsidRDefault="004F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F8" w:rsidRDefault="004F04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102960</wp:posOffset>
          </wp:positionH>
          <wp:positionV relativeFrom="paragraph">
            <wp:posOffset>-13320</wp:posOffset>
          </wp:positionV>
          <wp:extent cx="498600" cy="453239"/>
          <wp:effectExtent l="0" t="0" r="0" b="3961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0" cy="45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5809680</wp:posOffset>
          </wp:positionH>
          <wp:positionV relativeFrom="paragraph">
            <wp:posOffset>14760</wp:posOffset>
          </wp:positionV>
          <wp:extent cx="393840" cy="380880"/>
          <wp:effectExtent l="0" t="0" r="6210" b="120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40" cy="38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856DF8" w:rsidRDefault="004F04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856DF8" w:rsidRDefault="004F04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856DF8" w:rsidRDefault="004F04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Anteproyecto para Experiencia </w:t>
    </w:r>
    <w:proofErr w:type="spellStart"/>
    <w:r>
      <w:rPr>
        <w:b/>
        <w:bCs/>
        <w:sz w:val="16"/>
        <w:szCs w:val="16"/>
      </w:rPr>
      <w:t>Recepcional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67B"/>
    <w:multiLevelType w:val="multilevel"/>
    <w:tmpl w:val="4EA22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AEA34A4"/>
    <w:multiLevelType w:val="multilevel"/>
    <w:tmpl w:val="8996DE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1A48"/>
    <w:rsid w:val="004F041D"/>
    <w:rsid w:val="00801A48"/>
    <w:rsid w:val="00C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0FCF51-BD70-4942-B7F3-4BC88B0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Perez Hernandez Angelica</cp:lastModifiedBy>
  <cp:revision>2</cp:revision>
  <dcterms:created xsi:type="dcterms:W3CDTF">2020-09-03T01:12:00Z</dcterms:created>
  <dcterms:modified xsi:type="dcterms:W3CDTF">2020-09-03T01:12:00Z</dcterms:modified>
</cp:coreProperties>
</file>