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146"/>
      </w:tblGrid>
      <w:tr w:rsidR="006F1766" w:rsidRPr="00A709FF" w:rsidTr="006F1766">
        <w:trPr>
          <w:trHeight w:val="2259"/>
        </w:trPr>
        <w:tc>
          <w:tcPr>
            <w:tcW w:w="5000" w:type="pct"/>
            <w:shd w:val="clear" w:color="000000" w:fill="D8D8D8"/>
            <w:vAlign w:val="center"/>
            <w:hideMark/>
          </w:tcPr>
          <w:p w:rsidR="006F1766" w:rsidRPr="00614F72" w:rsidRDefault="006F1766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61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La Dirección General de la Unidad de Estudios de Posgrado, a través de la Coordinación de Especialidades Médicas </w:t>
            </w:r>
          </w:p>
          <w:p w:rsidR="006F1766" w:rsidRPr="00614F72" w:rsidRDefault="006F1766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F1766" w:rsidRPr="00614F72" w:rsidRDefault="006F1766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1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CONVOCA</w:t>
            </w:r>
          </w:p>
          <w:p w:rsidR="006F1766" w:rsidRPr="00614F72" w:rsidRDefault="006F1766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</w:p>
          <w:p w:rsidR="006F1766" w:rsidRPr="00A709FF" w:rsidRDefault="006F1766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1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 sus profesores a inscribirse a los cursos que ofrece el “Programa de Capacitación Académica para las Especialidades Médicas:</w:t>
            </w:r>
          </w:p>
        </w:tc>
      </w:tr>
    </w:tbl>
    <w:tbl>
      <w:tblPr>
        <w:tblpPr w:leftFromText="141" w:rightFromText="141" w:vertAnchor="page" w:horzAnchor="margin" w:tblpY="44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9"/>
        <w:gridCol w:w="1967"/>
        <w:gridCol w:w="1023"/>
        <w:gridCol w:w="1088"/>
        <w:gridCol w:w="1023"/>
        <w:gridCol w:w="1004"/>
        <w:gridCol w:w="3781"/>
        <w:gridCol w:w="1291"/>
      </w:tblGrid>
      <w:tr w:rsidR="001C5F84" w:rsidRPr="001C5F84" w:rsidTr="006F1766">
        <w:trPr>
          <w:trHeight w:val="312"/>
        </w:trPr>
        <w:tc>
          <w:tcPr>
            <w:tcW w:w="749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Nombre del curso</w:t>
            </w:r>
          </w:p>
        </w:tc>
        <w:tc>
          <w:tcPr>
            <w:tcW w:w="748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Modalidad</w:t>
            </w: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No. horas:</w:t>
            </w:r>
          </w:p>
        </w:tc>
        <w:tc>
          <w:tcPr>
            <w:tcW w:w="389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Créditos</w:t>
            </w:r>
          </w:p>
        </w:tc>
        <w:tc>
          <w:tcPr>
            <w:tcW w:w="382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cupo 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mín</w:t>
            </w:r>
            <w:proofErr w:type="spellEnd"/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max</w:t>
            </w:r>
            <w:proofErr w:type="spellEnd"/>
          </w:p>
        </w:tc>
        <w:tc>
          <w:tcPr>
            <w:tcW w:w="1438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491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Fechas</w:t>
            </w:r>
          </w:p>
        </w:tc>
      </w:tr>
      <w:tr w:rsidR="006F1766" w:rsidRPr="001C5F84" w:rsidTr="006F1766">
        <w:trPr>
          <w:trHeight w:val="324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89" w:type="pc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Teóricas</w:t>
            </w:r>
          </w:p>
        </w:tc>
        <w:tc>
          <w:tcPr>
            <w:tcW w:w="414" w:type="pc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Prácticas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6F1766" w:rsidRPr="001C5F84" w:rsidTr="006F1766">
        <w:trPr>
          <w:trHeight w:val="708"/>
        </w:trPr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Aprendizaje basado en problemas como estrategia de enseñanza – aprendizaje.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Virtual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15/25</w:t>
            </w:r>
          </w:p>
        </w:tc>
        <w:tc>
          <w:tcPr>
            <w:tcW w:w="1438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Propicia la reflexión y discusión sobre la metodología de trabajo del aprendizaje basado en problemas para diseñar una propuesta que incorpore esta metodología en el trabajo docente.</w:t>
            </w:r>
          </w:p>
        </w:tc>
        <w:tc>
          <w:tcPr>
            <w:tcW w:w="491" w:type="pct"/>
            <w:shd w:val="clear" w:color="000000" w:fill="FF000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enero-febrero</w:t>
            </w:r>
          </w:p>
        </w:tc>
      </w:tr>
      <w:tr w:rsidR="006F1766" w:rsidRPr="001C5F84" w:rsidTr="006F1766">
        <w:trPr>
          <w:trHeight w:val="708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shd w:val="clear" w:color="auto" w:fill="FFC00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mayo-mayo</w:t>
            </w:r>
          </w:p>
        </w:tc>
      </w:tr>
      <w:tr w:rsidR="006F1766" w:rsidRPr="001C5F84" w:rsidTr="006F1766">
        <w:trPr>
          <w:trHeight w:val="708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shd w:val="clear" w:color="auto" w:fill="FFC00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septiembre </w:t>
            </w:r>
          </w:p>
        </w:tc>
      </w:tr>
      <w:tr w:rsidR="001C5F84" w:rsidRPr="001C5F84" w:rsidTr="006F1766">
        <w:trPr>
          <w:trHeight w:val="900"/>
        </w:trPr>
        <w:tc>
          <w:tcPr>
            <w:tcW w:w="749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Elaboración de reactivos de opción múltiple</w:t>
            </w:r>
          </w:p>
        </w:tc>
        <w:tc>
          <w:tcPr>
            <w:tcW w:w="748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Virtual</w:t>
            </w:r>
          </w:p>
        </w:tc>
        <w:tc>
          <w:tcPr>
            <w:tcW w:w="389" w:type="pc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4" w:type="pc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89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82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15/25</w:t>
            </w:r>
          </w:p>
        </w:tc>
        <w:tc>
          <w:tcPr>
            <w:tcW w:w="1438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El curso se centra en la elaboración de una herramienta de evaluación a través de casos clínicos con reactivos de opción múltiple, siguiendo una metodología basada en la reflexión y sensibilización de la importancia en la elaboración de estas herramientas de evaluación cuidadosamente elaboradas.</w:t>
            </w:r>
          </w:p>
        </w:tc>
        <w:tc>
          <w:tcPr>
            <w:tcW w:w="491" w:type="pct"/>
            <w:shd w:val="clear" w:color="000000" w:fill="00B05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03-28 de junio</w:t>
            </w:r>
          </w:p>
        </w:tc>
      </w:tr>
      <w:tr w:rsidR="006F1766" w:rsidRPr="001C5F84" w:rsidTr="006F1766">
        <w:trPr>
          <w:trHeight w:val="900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shd w:val="clear" w:color="000000" w:fill="00B05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02-27 de septiembre</w:t>
            </w:r>
          </w:p>
        </w:tc>
      </w:tr>
      <w:tr w:rsidR="006F1766" w:rsidRPr="001C5F84" w:rsidTr="00ED7764">
        <w:trPr>
          <w:trHeight w:val="981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shd w:val="clear" w:color="000000" w:fill="00B05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04-29 de noviembre</w:t>
            </w:r>
          </w:p>
        </w:tc>
      </w:tr>
    </w:tbl>
    <w:p w:rsidR="00ED7764" w:rsidRDefault="00ED7764"/>
    <w:tbl>
      <w:tblPr>
        <w:tblpPr w:leftFromText="141" w:rightFromText="141" w:vertAnchor="page" w:horzAnchor="margin" w:tblpY="27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9"/>
        <w:gridCol w:w="1967"/>
        <w:gridCol w:w="1023"/>
        <w:gridCol w:w="1088"/>
        <w:gridCol w:w="1023"/>
        <w:gridCol w:w="1004"/>
        <w:gridCol w:w="3781"/>
        <w:gridCol w:w="1291"/>
      </w:tblGrid>
      <w:tr w:rsidR="00ED7764" w:rsidRPr="001C5F84" w:rsidTr="007D6182">
        <w:trPr>
          <w:trHeight w:val="2028"/>
        </w:trPr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Práctica médica basada en evidencia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presencial (EMINUS y videoconferencias)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15/30</w:t>
            </w:r>
          </w:p>
        </w:tc>
        <w:tc>
          <w:tcPr>
            <w:tcW w:w="1438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  Medicina Basada en la Evidencia (MBE) es una estrategia para perfeccionar la toma de decisiones clínicas a partir de la aplicación de la mejor evidencia científica disponible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El curso pretende generar con</w:t>
            </w: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ocimientos básicos sobre la práctica de la Medicina Basada en Evidencias  y dotarles de habilidades para su práctica, a partir de conocer las técnicas y métodos de búsqueda, filtrado y análisis de la evidencia científica utilizando bases de datos de Internet.</w:t>
            </w:r>
          </w:p>
        </w:tc>
        <w:tc>
          <w:tcPr>
            <w:tcW w:w="491" w:type="pct"/>
            <w:vMerge w:val="restart"/>
            <w:shd w:val="clear" w:color="auto" w:fill="FF0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 febrero-12 abril 2013</w:t>
            </w:r>
          </w:p>
        </w:tc>
      </w:tr>
      <w:tr w:rsidR="00ED7764" w:rsidRPr="001C5F84" w:rsidTr="007D6182">
        <w:trPr>
          <w:trHeight w:val="2028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0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D7764" w:rsidRPr="001C5F84" w:rsidTr="007D6182">
        <w:trPr>
          <w:trHeight w:val="589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0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ED7764" w:rsidRDefault="00ED7764">
      <w:r>
        <w:br w:type="page"/>
      </w:r>
    </w:p>
    <w:tbl>
      <w:tblPr>
        <w:tblpPr w:leftFromText="141" w:rightFromText="141" w:vertAnchor="page" w:horzAnchor="margin" w:tblpY="44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9"/>
        <w:gridCol w:w="1967"/>
        <w:gridCol w:w="1023"/>
        <w:gridCol w:w="1088"/>
        <w:gridCol w:w="1023"/>
        <w:gridCol w:w="1004"/>
        <w:gridCol w:w="3781"/>
        <w:gridCol w:w="1291"/>
      </w:tblGrid>
      <w:tr w:rsidR="001C5F84" w:rsidRPr="001C5F84" w:rsidTr="006F1766">
        <w:trPr>
          <w:trHeight w:val="888"/>
        </w:trPr>
        <w:tc>
          <w:tcPr>
            <w:tcW w:w="749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Calidad en la atención y seguridad del paciente</w:t>
            </w:r>
          </w:p>
        </w:tc>
        <w:tc>
          <w:tcPr>
            <w:tcW w:w="748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presencial (EMINUS y videoconferencias)</w:t>
            </w:r>
          </w:p>
        </w:tc>
        <w:tc>
          <w:tcPr>
            <w:tcW w:w="389" w:type="pc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14" w:type="pc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389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82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15/30</w:t>
            </w:r>
          </w:p>
        </w:tc>
        <w:tc>
          <w:tcPr>
            <w:tcW w:w="1438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El curso pretende que el alumno conozca los conceptos fundamentales relacionados con la seguridad del paciente e identifique áreas de oportunidad para mejora de la calidad de la atención en su área de trabajo.</w:t>
            </w:r>
          </w:p>
        </w:tc>
        <w:tc>
          <w:tcPr>
            <w:tcW w:w="491" w:type="pct"/>
            <w:vMerge w:val="restart"/>
            <w:shd w:val="clear" w:color="000000" w:fill="00B05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06 mayo-05 julio 2013</w:t>
            </w:r>
          </w:p>
        </w:tc>
      </w:tr>
      <w:tr w:rsidR="006F1766" w:rsidRPr="001C5F84" w:rsidTr="006F1766">
        <w:trPr>
          <w:trHeight w:val="888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F1766" w:rsidRPr="001C5F84" w:rsidTr="006F1766">
        <w:trPr>
          <w:trHeight w:val="888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F1766" w:rsidRPr="001C5F84" w:rsidTr="006F1766">
        <w:trPr>
          <w:trHeight w:val="1200"/>
        </w:trPr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La Informática médica y las 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TIC's</w:t>
            </w:r>
            <w:proofErr w:type="spellEnd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el Sistema de Salud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presencial (EMINUS y videoconferencias)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15/30</w:t>
            </w:r>
          </w:p>
        </w:tc>
        <w:tc>
          <w:tcPr>
            <w:tcW w:w="1438" w:type="pct"/>
            <w:vMerge w:val="restart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El curso pretende que el alumno conozca e </w:t>
            </w:r>
            <w:r w:rsidR="0037089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identifique</w:t>
            </w: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las Nuevas Tecnologías de la Información y Comunicación (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TIC’s</w:t>
            </w:r>
            <w:proofErr w:type="spellEnd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), Informática Médica y uso de redes sociales, factores críticos para  la gestión de un nuevo modelo de atención en salud que responda a un nuevo escenario social, económico, demográfico y epidemiológico.</w:t>
            </w:r>
          </w:p>
        </w:tc>
        <w:tc>
          <w:tcPr>
            <w:tcW w:w="491" w:type="pct"/>
            <w:vMerge w:val="restart"/>
            <w:shd w:val="clear" w:color="000000" w:fill="00B05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05 agosto-04 octubre 2013</w:t>
            </w:r>
          </w:p>
        </w:tc>
      </w:tr>
      <w:tr w:rsidR="006F1766" w:rsidRPr="001C5F84" w:rsidTr="006F1766">
        <w:trPr>
          <w:trHeight w:val="1200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F1766" w:rsidRPr="001C5F84" w:rsidTr="006F1766">
        <w:trPr>
          <w:trHeight w:val="1200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ED7764" w:rsidRDefault="00ED7764">
      <w:r>
        <w:br w:type="page"/>
      </w:r>
    </w:p>
    <w:tbl>
      <w:tblPr>
        <w:tblpPr w:leftFromText="141" w:rightFromText="141" w:vertAnchor="page" w:horzAnchor="margin" w:tblpY="44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9"/>
        <w:gridCol w:w="1967"/>
        <w:gridCol w:w="1023"/>
        <w:gridCol w:w="1088"/>
        <w:gridCol w:w="1023"/>
        <w:gridCol w:w="1004"/>
        <w:gridCol w:w="3781"/>
        <w:gridCol w:w="1291"/>
      </w:tblGrid>
      <w:tr w:rsidR="001C5F84" w:rsidRPr="001C5F84" w:rsidTr="006F1766">
        <w:trPr>
          <w:trHeight w:val="1476"/>
        </w:trPr>
        <w:tc>
          <w:tcPr>
            <w:tcW w:w="749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Modelo de formación de Recursos Humanos en el nivel superior</w:t>
            </w:r>
          </w:p>
        </w:tc>
        <w:tc>
          <w:tcPr>
            <w:tcW w:w="748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Distribuida</w:t>
            </w:r>
          </w:p>
        </w:tc>
        <w:tc>
          <w:tcPr>
            <w:tcW w:w="389" w:type="pc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4" w:type="pc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89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82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15/25</w:t>
            </w:r>
          </w:p>
        </w:tc>
        <w:tc>
          <w:tcPr>
            <w:tcW w:w="1438" w:type="pct"/>
            <w:vMerge w:val="restart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Es un curso que  se centra en la reflexión de la importancia en la formación de recursos humanos de alta calidad en el nivel superior, en la 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reconceptualización</w:t>
            </w:r>
            <w:proofErr w:type="spellEnd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del modelo de formación que caracteriza el programa educativo en que participan y en la elaboración de la planeación didáctica de la asignatura que imparten, a fin de cumplir con los propósitos formativos enunciados en el perfil de formación de dicho programa.</w:t>
            </w:r>
          </w:p>
        </w:tc>
        <w:tc>
          <w:tcPr>
            <w:tcW w:w="491" w:type="pct"/>
            <w:shd w:val="clear" w:color="000000" w:fill="00B05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28 ene - 08 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feb</w:t>
            </w:r>
            <w:proofErr w:type="spellEnd"/>
          </w:p>
        </w:tc>
      </w:tr>
      <w:tr w:rsidR="006F1766" w:rsidRPr="001C5F84" w:rsidTr="006F1766">
        <w:trPr>
          <w:trHeight w:val="1476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shd w:val="clear" w:color="000000" w:fill="00B05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08 al 19 de abril 2013</w:t>
            </w:r>
          </w:p>
        </w:tc>
      </w:tr>
      <w:tr w:rsidR="006F1766" w:rsidRPr="001C5F84" w:rsidTr="006F1766">
        <w:trPr>
          <w:trHeight w:val="1476"/>
        </w:trPr>
        <w:tc>
          <w:tcPr>
            <w:tcW w:w="74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89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shd w:val="clear" w:color="000000" w:fill="00B050"/>
            <w:vAlign w:val="center"/>
            <w:hideMark/>
          </w:tcPr>
          <w:p w:rsidR="001C5F84" w:rsidRPr="001C5F84" w:rsidRDefault="001C5F84" w:rsidP="006F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07-18 octubre 2013</w:t>
            </w:r>
          </w:p>
        </w:tc>
      </w:tr>
    </w:tbl>
    <w:p w:rsidR="00ED7764" w:rsidRDefault="00ED7764">
      <w:r>
        <w:br w:type="page"/>
      </w:r>
    </w:p>
    <w:tbl>
      <w:tblPr>
        <w:tblpPr w:leftFromText="141" w:rightFromText="141" w:vertAnchor="page" w:horzAnchor="margin" w:tblpY="25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9"/>
        <w:gridCol w:w="1967"/>
        <w:gridCol w:w="1023"/>
        <w:gridCol w:w="1088"/>
        <w:gridCol w:w="1023"/>
        <w:gridCol w:w="1004"/>
        <w:gridCol w:w="3781"/>
        <w:gridCol w:w="1291"/>
      </w:tblGrid>
      <w:tr w:rsidR="00ED7764" w:rsidRPr="001C5F84" w:rsidTr="00ED7764">
        <w:trPr>
          <w:trHeight w:val="756"/>
        </w:trPr>
        <w:tc>
          <w:tcPr>
            <w:tcW w:w="5000" w:type="pct"/>
            <w:gridSpan w:val="8"/>
            <w:shd w:val="clear" w:color="000000" w:fill="F2DDDC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  <w:lastRenderedPageBreak/>
              <w:t>Cursos que integran el diplomado de: Estrategias de enseñanza aprendizaje</w:t>
            </w:r>
          </w:p>
        </w:tc>
      </w:tr>
      <w:tr w:rsidR="00ED7764" w:rsidRPr="001C5F84" w:rsidTr="00ED7764">
        <w:trPr>
          <w:trHeight w:val="828"/>
        </w:trPr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Aprendizaje basado en problemas como estrategia de enseñanza – aprendizaje.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Virtual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15/25</w:t>
            </w:r>
          </w:p>
        </w:tc>
        <w:tc>
          <w:tcPr>
            <w:tcW w:w="1438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Propicia la reflexión y discusión sobre la metodología de trabajo del aprendizaje basado en problemas para diseñar una propuesta que incorpore esta metodología en el trabajo docente.</w:t>
            </w:r>
          </w:p>
        </w:tc>
        <w:tc>
          <w:tcPr>
            <w:tcW w:w="491" w:type="pct"/>
            <w:shd w:val="clear" w:color="000000" w:fill="FF0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enero-febrero</w:t>
            </w:r>
          </w:p>
        </w:tc>
      </w:tr>
      <w:tr w:rsidR="00ED7764" w:rsidRPr="001C5F84" w:rsidTr="00ED7764">
        <w:trPr>
          <w:trHeight w:val="828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mayo-mayo</w:t>
            </w:r>
          </w:p>
        </w:tc>
      </w:tr>
      <w:tr w:rsidR="00ED7764" w:rsidRPr="001C5F84" w:rsidTr="00ED7764">
        <w:trPr>
          <w:trHeight w:val="828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septiembre </w:t>
            </w:r>
          </w:p>
        </w:tc>
      </w:tr>
      <w:tr w:rsidR="00ED7764" w:rsidRPr="001C5F84" w:rsidTr="00ED7764">
        <w:trPr>
          <w:trHeight w:val="852"/>
        </w:trPr>
        <w:tc>
          <w:tcPr>
            <w:tcW w:w="749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Fundamentos y estrategias dentro del paradigma del aprendizaje.</w:t>
            </w:r>
          </w:p>
        </w:tc>
        <w:tc>
          <w:tcPr>
            <w:tcW w:w="748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Presencial</w:t>
            </w:r>
          </w:p>
        </w:tc>
        <w:tc>
          <w:tcPr>
            <w:tcW w:w="389" w:type="pc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4" w:type="pc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89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82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15/25</w:t>
            </w:r>
          </w:p>
        </w:tc>
        <w:tc>
          <w:tcPr>
            <w:tcW w:w="1438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Propicia la reflexión y discusión sobre el paradigma del aprendizaje para la revisión de los procesos de aprendizaje  y, en consecuencia, adecuación de las estrategias metodológicas que promuevan aprendizajes autónomos y significativos.</w:t>
            </w:r>
          </w:p>
        </w:tc>
        <w:tc>
          <w:tcPr>
            <w:tcW w:w="491" w:type="pct"/>
            <w:vMerge w:val="restart"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marzo</w:t>
            </w:r>
          </w:p>
        </w:tc>
      </w:tr>
      <w:tr w:rsidR="00ED7764" w:rsidRPr="001C5F84" w:rsidTr="00ED7764">
        <w:trPr>
          <w:trHeight w:val="852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D7764" w:rsidRPr="001C5F84" w:rsidTr="00ED7764">
        <w:trPr>
          <w:trHeight w:val="852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ED7764" w:rsidRDefault="00ED7764">
      <w:r>
        <w:br w:type="page"/>
      </w:r>
    </w:p>
    <w:tbl>
      <w:tblPr>
        <w:tblpPr w:leftFromText="141" w:rightFromText="141" w:vertAnchor="page" w:horzAnchor="margin" w:tblpY="24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9"/>
        <w:gridCol w:w="1967"/>
        <w:gridCol w:w="1023"/>
        <w:gridCol w:w="1088"/>
        <w:gridCol w:w="1023"/>
        <w:gridCol w:w="1004"/>
        <w:gridCol w:w="3781"/>
        <w:gridCol w:w="1291"/>
      </w:tblGrid>
      <w:tr w:rsidR="00ED7764" w:rsidRPr="001C5F84" w:rsidTr="00ED7764">
        <w:trPr>
          <w:trHeight w:val="972"/>
        </w:trPr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Aprendizaje colaborativo en el aula.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Presencial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15/25</w:t>
            </w:r>
          </w:p>
        </w:tc>
        <w:tc>
          <w:tcPr>
            <w:tcW w:w="1438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Propicia a la reflexión sobre las estrategias de aprendizaje colaborativo utilizado en el aula, para diseñar una propuesta de incorporación de esta estrategia a un programa de experiencias educativas que desarrolle en los estudiantes aprendizaje significativo.</w:t>
            </w:r>
          </w:p>
        </w:tc>
        <w:tc>
          <w:tcPr>
            <w:tcW w:w="491" w:type="pct"/>
            <w:vMerge w:val="restart"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Mayo</w:t>
            </w:r>
          </w:p>
        </w:tc>
      </w:tr>
      <w:tr w:rsidR="00ED7764" w:rsidRPr="001C5F84" w:rsidTr="00ED7764">
        <w:trPr>
          <w:trHeight w:val="972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D7764" w:rsidRPr="001C5F84" w:rsidTr="00ED7764">
        <w:trPr>
          <w:trHeight w:val="972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D7764" w:rsidRPr="001C5F84" w:rsidTr="00ED7764">
        <w:trPr>
          <w:trHeight w:val="864"/>
        </w:trPr>
        <w:tc>
          <w:tcPr>
            <w:tcW w:w="749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Estrategias socio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afectivas de aprendizaje.</w:t>
            </w:r>
          </w:p>
        </w:tc>
        <w:tc>
          <w:tcPr>
            <w:tcW w:w="748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Virtual</w:t>
            </w:r>
          </w:p>
        </w:tc>
        <w:tc>
          <w:tcPr>
            <w:tcW w:w="389" w:type="pc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4" w:type="pc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89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82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15/25</w:t>
            </w:r>
          </w:p>
        </w:tc>
        <w:tc>
          <w:tcPr>
            <w:tcW w:w="1438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Atiende la dimensión socio-afectiva desde el trabajo docente, proporcionando estrategias para el desarrollo de los aspectos </w:t>
            </w:r>
            <w:proofErr w:type="spellStart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actitudinal</w:t>
            </w:r>
            <w:proofErr w:type="spellEnd"/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emocional y afectivo de los estudiantes mediante la reflexión, la auto-observación y la autonomía  </w:t>
            </w:r>
          </w:p>
        </w:tc>
        <w:tc>
          <w:tcPr>
            <w:tcW w:w="491" w:type="pct"/>
            <w:vMerge w:val="restart"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septiembre</w:t>
            </w:r>
          </w:p>
        </w:tc>
      </w:tr>
      <w:tr w:rsidR="00ED7764" w:rsidRPr="001C5F84" w:rsidTr="00ED7764">
        <w:trPr>
          <w:trHeight w:val="864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D7764" w:rsidRPr="001C5F84" w:rsidTr="00ED7764">
        <w:trPr>
          <w:trHeight w:val="864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tbl>
      <w:tblPr>
        <w:tblpPr w:leftFromText="141" w:rightFromText="141" w:vertAnchor="page" w:horzAnchor="margin" w:tblpY="7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9"/>
        <w:gridCol w:w="1967"/>
        <w:gridCol w:w="1023"/>
        <w:gridCol w:w="1088"/>
        <w:gridCol w:w="1023"/>
        <w:gridCol w:w="1004"/>
        <w:gridCol w:w="3781"/>
        <w:gridCol w:w="1291"/>
      </w:tblGrid>
      <w:tr w:rsidR="00ED7764" w:rsidRPr="001C5F84" w:rsidTr="00ED7764">
        <w:trPr>
          <w:trHeight w:val="672"/>
        </w:trPr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Evaluación aplicada a los aprendizajes.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Distribuida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15/25</w:t>
            </w:r>
          </w:p>
        </w:tc>
        <w:tc>
          <w:tcPr>
            <w:tcW w:w="1438" w:type="pct"/>
            <w:vMerge w:val="restart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Analiza los fundamentos teóricos de la evaluación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 </w:t>
            </w: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 aprendizajes y las herramientas metodológicas para diseñar instrumentos de evaluación de las Experiencias Educativas.</w:t>
            </w:r>
          </w:p>
        </w:tc>
        <w:tc>
          <w:tcPr>
            <w:tcW w:w="491" w:type="pct"/>
            <w:vMerge w:val="restart"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octubre</w:t>
            </w:r>
          </w:p>
        </w:tc>
      </w:tr>
      <w:tr w:rsidR="00ED7764" w:rsidRPr="001C5F84" w:rsidTr="00ED7764">
        <w:trPr>
          <w:trHeight w:val="672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D7764" w:rsidRPr="001C5F84" w:rsidTr="00ED7764">
        <w:trPr>
          <w:trHeight w:val="672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ED7764" w:rsidRDefault="00ED7764"/>
    <w:tbl>
      <w:tblPr>
        <w:tblpPr w:leftFromText="141" w:rightFromText="141" w:vertAnchor="page" w:horzAnchor="margin" w:tblpY="34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9"/>
        <w:gridCol w:w="1967"/>
        <w:gridCol w:w="1023"/>
        <w:gridCol w:w="1088"/>
        <w:gridCol w:w="1023"/>
        <w:gridCol w:w="1004"/>
        <w:gridCol w:w="3781"/>
        <w:gridCol w:w="1291"/>
      </w:tblGrid>
      <w:tr w:rsidR="00ED7764" w:rsidRPr="001C5F84" w:rsidTr="00ED7764">
        <w:trPr>
          <w:trHeight w:val="1068"/>
        </w:trPr>
        <w:tc>
          <w:tcPr>
            <w:tcW w:w="749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Sensibilización para el diálogo de saberes.</w:t>
            </w:r>
          </w:p>
        </w:tc>
        <w:tc>
          <w:tcPr>
            <w:tcW w:w="748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Distribuida</w:t>
            </w:r>
          </w:p>
        </w:tc>
        <w:tc>
          <w:tcPr>
            <w:tcW w:w="389" w:type="pc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4" w:type="pc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89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82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15/25</w:t>
            </w:r>
          </w:p>
        </w:tc>
        <w:tc>
          <w:tcPr>
            <w:tcW w:w="1438" w:type="pct"/>
            <w:vMerge w:val="restart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Caracteriza las experiencias de la diversidad de saberes, cultura e identidad en la vida cotidiana, a través de un intercambio dialógico y cooperativo, proveniente de saberes globales y locales, urbanos y rurales, mestizos e indígenas, para utilizarlos como un recurso para el enriquecimiento del trabajo.</w:t>
            </w:r>
          </w:p>
        </w:tc>
        <w:tc>
          <w:tcPr>
            <w:tcW w:w="491" w:type="pct"/>
            <w:vMerge w:val="restart"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noviembre</w:t>
            </w:r>
          </w:p>
        </w:tc>
      </w:tr>
      <w:tr w:rsidR="00ED7764" w:rsidRPr="001C5F84" w:rsidTr="00ED7764">
        <w:trPr>
          <w:trHeight w:val="1068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Total de horas: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D7764" w:rsidRPr="001C5F84" w:rsidTr="00EF6625">
        <w:trPr>
          <w:trHeight w:val="518"/>
        </w:trPr>
        <w:tc>
          <w:tcPr>
            <w:tcW w:w="74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03" w:type="pct"/>
            <w:gridSpan w:val="2"/>
            <w:shd w:val="clear" w:color="000000" w:fill="D8D8D8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C5F8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389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1" w:type="pct"/>
            <w:vMerge/>
            <w:shd w:val="clear" w:color="auto" w:fill="FFC000"/>
            <w:vAlign w:val="center"/>
            <w:hideMark/>
          </w:tcPr>
          <w:p w:rsidR="00ED7764" w:rsidRPr="001C5F84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D7764" w:rsidRPr="001C5F84" w:rsidTr="00EF6625">
        <w:trPr>
          <w:trHeight w:val="3694"/>
        </w:trPr>
        <w:tc>
          <w:tcPr>
            <w:tcW w:w="5000" w:type="pct"/>
            <w:gridSpan w:val="8"/>
            <w:vAlign w:val="center"/>
            <w:hideMark/>
          </w:tcPr>
          <w:p w:rsidR="00EF6625" w:rsidRDefault="00EF6625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ED7764" w:rsidRPr="00EF6625" w:rsidRDefault="00ED7764" w:rsidP="00ED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EF6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Requisitos de inscripción:</w:t>
            </w:r>
          </w:p>
          <w:p w:rsidR="00ED7764" w:rsidRDefault="00ED7764" w:rsidP="00ED77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Ser profesor titular o adjunto de las Especialidades Médicas que avala la Universidad Veracruzana.</w:t>
            </w:r>
          </w:p>
          <w:p w:rsidR="00ED7764" w:rsidRDefault="00ED7764" w:rsidP="00ED77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Tener nombramiento como Profesor de la Especialidad por parte de la Institución de Salud y de la Universidad Veracruzana.</w:t>
            </w:r>
          </w:p>
          <w:p w:rsidR="00ED7764" w:rsidRDefault="00ED7764" w:rsidP="00EF66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Solicitar</w:t>
            </w:r>
            <w:r w:rsidR="00EF662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15 días de anticipación (a la fecha marcada en los recuadros verdes)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 inscripción al curso </w:t>
            </w:r>
            <w:r w:rsidR="00EF662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 su preferencia, con referente de la fecha que está en los recuadros verdes.</w:t>
            </w:r>
          </w:p>
          <w:p w:rsidR="00EF6625" w:rsidRDefault="00EF6625" w:rsidP="00EF66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Contar con una cuenta de correo electrónico.</w:t>
            </w:r>
          </w:p>
          <w:p w:rsidR="00EF6625" w:rsidRDefault="00EF6625" w:rsidP="00EF6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  <w:p w:rsidR="00EF6625" w:rsidRPr="00EF6625" w:rsidRDefault="00EF6625" w:rsidP="00EF6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EF6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Para la inscripción a los cursos:</w:t>
            </w:r>
          </w:p>
          <w:p w:rsidR="00EF6625" w:rsidRDefault="00EF6625" w:rsidP="00EF66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662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Los </w:t>
            </w:r>
            <w:r w:rsidRPr="00EF662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s-MX"/>
              </w:rPr>
              <w:t>recuadros verdes</w:t>
            </w:r>
            <w:r w:rsidRPr="00EF662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indican que la fecha de inscripción está abierta. </w:t>
            </w:r>
          </w:p>
          <w:p w:rsidR="00EF6625" w:rsidRDefault="00EF6625" w:rsidP="00EF66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Los </w:t>
            </w:r>
            <w:r w:rsidRPr="00EF6625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es-MX"/>
              </w:rPr>
              <w:t>recuadros amarillos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indican que puede apartar su lugar en el curso, pero la inscripción aún no está abierta.</w:t>
            </w:r>
          </w:p>
          <w:p w:rsidR="00EF6625" w:rsidRDefault="00EF6625" w:rsidP="00EF66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662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Los </w:t>
            </w:r>
            <w:r w:rsidRPr="00EF66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s-MX"/>
              </w:rPr>
              <w:t>recuadros en rojo</w:t>
            </w:r>
            <w:r w:rsidRPr="00EF662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indican que la inscripción ha sido cerrada.</w:t>
            </w:r>
          </w:p>
          <w:p w:rsidR="00EF6625" w:rsidRPr="00EF6625" w:rsidRDefault="00EF6625" w:rsidP="00EF6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Para la apertura del curso:</w:t>
            </w:r>
          </w:p>
          <w:p w:rsidR="00EF6625" w:rsidRPr="00EF6625" w:rsidRDefault="00EF6625" w:rsidP="00EF662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F662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 apertura del curso está condicionada al número de alumnos inscritos, según el máximo o el mínimo de cada curso.</w:t>
            </w:r>
          </w:p>
          <w:p w:rsidR="00EF6625" w:rsidRPr="00EF6625" w:rsidRDefault="00EF6625" w:rsidP="00EF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C75374" w:rsidRDefault="007D6182" w:rsidP="00ED7764"/>
    <w:sectPr w:rsidR="00C75374" w:rsidSect="00ED7764">
      <w:headerReference w:type="default" r:id="rId7"/>
      <w:footerReference w:type="default" r:id="rId8"/>
      <w:pgSz w:w="15840" w:h="12240" w:orient="landscape"/>
      <w:pgMar w:top="1985" w:right="1417" w:bottom="1701" w:left="1417" w:header="708" w:footer="9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06" w:rsidRDefault="00724906" w:rsidP="00A709FF">
      <w:pPr>
        <w:spacing w:after="0" w:line="240" w:lineRule="auto"/>
      </w:pPr>
      <w:r>
        <w:separator/>
      </w:r>
    </w:p>
  </w:endnote>
  <w:endnote w:type="continuationSeparator" w:id="0">
    <w:p w:rsidR="00724906" w:rsidRDefault="00724906" w:rsidP="00A7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64" w:rsidRPr="00ED7764" w:rsidRDefault="00ED7764" w:rsidP="00ED7764">
    <w:pPr>
      <w:pStyle w:val="Piedepgina"/>
      <w:jc w:val="center"/>
      <w:rPr>
        <w:sz w:val="16"/>
        <w:szCs w:val="16"/>
      </w:rPr>
    </w:pPr>
    <w:r w:rsidRPr="00ED7764">
      <w:rPr>
        <w:sz w:val="16"/>
        <w:szCs w:val="16"/>
      </w:rPr>
      <w:t xml:space="preserve">Av. Paseo de las Palmas No 15, esq. Los Mangos, </w:t>
    </w:r>
    <w:proofErr w:type="spellStart"/>
    <w:r w:rsidRPr="00ED7764">
      <w:rPr>
        <w:sz w:val="16"/>
        <w:szCs w:val="16"/>
      </w:rPr>
      <w:t>Fracc</w:t>
    </w:r>
    <w:proofErr w:type="spellEnd"/>
    <w:r w:rsidRPr="00ED7764">
      <w:rPr>
        <w:sz w:val="16"/>
        <w:szCs w:val="16"/>
      </w:rPr>
      <w:t xml:space="preserve">. Jardines de las Ánimas C. P. 91190, Xalapa de Enríquez, Veracruz. </w:t>
    </w:r>
  </w:p>
  <w:p w:rsidR="00ED7764" w:rsidRPr="00ED7764" w:rsidRDefault="00ED7764" w:rsidP="00ED7764">
    <w:pPr>
      <w:pStyle w:val="Piedepgina"/>
      <w:jc w:val="center"/>
      <w:rPr>
        <w:sz w:val="16"/>
        <w:szCs w:val="16"/>
      </w:rPr>
    </w:pPr>
    <w:r w:rsidRPr="00ED7764">
      <w:rPr>
        <w:sz w:val="16"/>
        <w:szCs w:val="16"/>
      </w:rPr>
      <w:t xml:space="preserve">Teléfonos: 01 (228) 841.36.96 y 812.88.14 </w:t>
    </w:r>
  </w:p>
  <w:p w:rsidR="00ED7764" w:rsidRPr="00ED7764" w:rsidRDefault="00ED7764" w:rsidP="00ED7764">
    <w:pPr>
      <w:pStyle w:val="Piedepgina"/>
      <w:jc w:val="center"/>
      <w:rPr>
        <w:sz w:val="16"/>
        <w:szCs w:val="16"/>
      </w:rPr>
    </w:pPr>
    <w:r w:rsidRPr="00ED7764">
      <w:rPr>
        <w:sz w:val="16"/>
        <w:szCs w:val="16"/>
      </w:rPr>
      <w:t>WEB: http://www.uv.mx/espmed</w:t>
    </w:r>
  </w:p>
  <w:p w:rsidR="00A709FF" w:rsidRPr="00A709FF" w:rsidRDefault="00ED7764" w:rsidP="00ED7764">
    <w:pPr>
      <w:pStyle w:val="Piedepgina"/>
      <w:jc w:val="center"/>
      <w:rPr>
        <w:sz w:val="16"/>
        <w:szCs w:val="16"/>
      </w:rPr>
    </w:pPr>
    <w:r w:rsidRPr="00ED7764">
      <w:rPr>
        <w:sz w:val="16"/>
        <w:szCs w:val="16"/>
      </w:rPr>
      <w:t>Correo electrónico: marievazquez@uv.mx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06" w:rsidRDefault="00724906" w:rsidP="00A709FF">
      <w:pPr>
        <w:spacing w:after="0" w:line="240" w:lineRule="auto"/>
      </w:pPr>
      <w:r>
        <w:separator/>
      </w:r>
    </w:p>
  </w:footnote>
  <w:footnote w:type="continuationSeparator" w:id="0">
    <w:p w:rsidR="00724906" w:rsidRDefault="00724906" w:rsidP="00A7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F" w:rsidRPr="00A709FF" w:rsidRDefault="00A709FF" w:rsidP="00A709FF">
    <w:pPr>
      <w:pStyle w:val="Encabezado"/>
      <w:jc w:val="center"/>
      <w:rPr>
        <w:b/>
      </w:rPr>
    </w:pPr>
    <w:r w:rsidRPr="00A709FF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7129780</wp:posOffset>
          </wp:positionH>
          <wp:positionV relativeFrom="paragraph">
            <wp:posOffset>-278130</wp:posOffset>
          </wp:positionV>
          <wp:extent cx="1524000" cy="885825"/>
          <wp:effectExtent l="19050" t="0" r="0" b="0"/>
          <wp:wrapTight wrapText="bothSides">
            <wp:wrapPolygon edited="0">
              <wp:start x="-270" y="0"/>
              <wp:lineTo x="-270" y="21368"/>
              <wp:lineTo x="21600" y="21368"/>
              <wp:lineTo x="21600" y="0"/>
              <wp:lineTo x="-270" y="0"/>
            </wp:wrapPolygon>
          </wp:wrapTight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8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2520" t="24094" r="32043" b="36957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5825"/>
                  </a:xfrm>
                  <a:prstGeom prst="rect">
                    <a:avLst/>
                  </a:prstGeom>
                  <a:noFill/>
                  <a:ln w="1270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09FF">
      <w:rPr>
        <w:b/>
      </w:rPr>
      <w:t>Universidad Veracruzana</w:t>
    </w:r>
  </w:p>
  <w:p w:rsidR="00A709FF" w:rsidRPr="00A709FF" w:rsidRDefault="00A709FF" w:rsidP="00A709FF">
    <w:pPr>
      <w:pStyle w:val="Encabezado"/>
      <w:jc w:val="center"/>
      <w:rPr>
        <w:b/>
      </w:rPr>
    </w:pPr>
    <w:r w:rsidRPr="00A709FF">
      <w:rPr>
        <w:b/>
      </w:rPr>
      <w:t>Dirección General de la Unidad de Estudios de Posgrado</w:t>
    </w:r>
  </w:p>
  <w:p w:rsidR="00A709FF" w:rsidRPr="00A709FF" w:rsidRDefault="00A709FF" w:rsidP="00A709FF">
    <w:pPr>
      <w:pStyle w:val="Encabezado"/>
      <w:jc w:val="center"/>
      <w:rPr>
        <w:b/>
      </w:rPr>
    </w:pPr>
    <w:r w:rsidRPr="00A709FF">
      <w:rPr>
        <w:b/>
      </w:rPr>
      <w:t>Coordinación de Especialidades Médicas</w:t>
    </w:r>
  </w:p>
  <w:p w:rsidR="00A709FF" w:rsidRPr="00A709FF" w:rsidRDefault="00A709FF" w:rsidP="00A709FF">
    <w:pPr>
      <w:pStyle w:val="Encabezado"/>
      <w:jc w:val="center"/>
      <w:rPr>
        <w:b/>
      </w:rPr>
    </w:pPr>
    <w:r w:rsidRPr="00A709FF">
      <w:rPr>
        <w:b/>
      </w:rPr>
      <w:t>Programa de Capacitación Académica para las Especialidades Médicas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280"/>
    <w:multiLevelType w:val="hybridMultilevel"/>
    <w:tmpl w:val="C6AC2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473E"/>
    <w:multiLevelType w:val="hybridMultilevel"/>
    <w:tmpl w:val="CB181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709FF"/>
    <w:rsid w:val="000C289C"/>
    <w:rsid w:val="000F6A4C"/>
    <w:rsid w:val="001C5F84"/>
    <w:rsid w:val="001F5D4B"/>
    <w:rsid w:val="00272C55"/>
    <w:rsid w:val="002977BD"/>
    <w:rsid w:val="00334FF9"/>
    <w:rsid w:val="0034406F"/>
    <w:rsid w:val="0037089C"/>
    <w:rsid w:val="003A55BA"/>
    <w:rsid w:val="003D181F"/>
    <w:rsid w:val="0050249B"/>
    <w:rsid w:val="005556AA"/>
    <w:rsid w:val="00584ACE"/>
    <w:rsid w:val="00611F9F"/>
    <w:rsid w:val="00614F72"/>
    <w:rsid w:val="00626966"/>
    <w:rsid w:val="006F1766"/>
    <w:rsid w:val="00724906"/>
    <w:rsid w:val="00750A6C"/>
    <w:rsid w:val="007D6182"/>
    <w:rsid w:val="00A709FF"/>
    <w:rsid w:val="00B76E37"/>
    <w:rsid w:val="00CB7F81"/>
    <w:rsid w:val="00E20D4C"/>
    <w:rsid w:val="00E44B51"/>
    <w:rsid w:val="00E53C4B"/>
    <w:rsid w:val="00ED7764"/>
    <w:rsid w:val="00EF6625"/>
    <w:rsid w:val="00F12B6B"/>
    <w:rsid w:val="00F20D95"/>
    <w:rsid w:val="00FB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0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09FF"/>
  </w:style>
  <w:style w:type="paragraph" w:styleId="Piedepgina">
    <w:name w:val="footer"/>
    <w:basedOn w:val="Normal"/>
    <w:link w:val="PiedepginaCar"/>
    <w:uiPriority w:val="99"/>
    <w:unhideWhenUsed/>
    <w:rsid w:val="00A70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9FF"/>
  </w:style>
  <w:style w:type="paragraph" w:styleId="Textodeglobo">
    <w:name w:val="Balloon Text"/>
    <w:basedOn w:val="Normal"/>
    <w:link w:val="TextodegloboCar"/>
    <w:uiPriority w:val="99"/>
    <w:semiHidden/>
    <w:unhideWhenUsed/>
    <w:rsid w:val="00A7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D77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ED7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DR.PEDRO</cp:lastModifiedBy>
  <cp:revision>6</cp:revision>
  <cp:lastPrinted>2013-03-07T16:14:00Z</cp:lastPrinted>
  <dcterms:created xsi:type="dcterms:W3CDTF">2013-01-31T22:12:00Z</dcterms:created>
  <dcterms:modified xsi:type="dcterms:W3CDTF">2013-03-07T16:14:00Z</dcterms:modified>
</cp:coreProperties>
</file>