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2B1" w:rsidRDefault="00C442B1" w:rsidP="00C442B1">
      <w:pPr>
        <w:jc w:val="center"/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04CDF313" wp14:editId="6BF2DA0B">
            <wp:extent cx="1073888" cy="948852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zsinfondo-696x598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836"/>
                    <a:stretch/>
                  </pic:blipFill>
                  <pic:spPr bwMode="auto">
                    <a:xfrm>
                      <a:off x="0" y="0"/>
                      <a:ext cx="1095996" cy="968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2B1" w:rsidRDefault="00C442B1" w:rsidP="00C442B1">
      <w:pPr>
        <w:jc w:val="center"/>
        <w:rPr>
          <w:rFonts w:ascii="Gill Sans MT" w:hAnsi="Gill Sans MT"/>
          <w:lang w:val="es-ES"/>
        </w:rPr>
      </w:pPr>
      <w:r w:rsidRPr="00D57739">
        <w:rPr>
          <w:rFonts w:ascii="Gill Sans MT" w:hAnsi="Gill Sans MT"/>
          <w:lang w:val="es-ES"/>
        </w:rPr>
        <w:t>Dirección General de Desarrollo Académico e Innovación Educativa</w:t>
      </w:r>
    </w:p>
    <w:p w:rsidR="00C442B1" w:rsidRDefault="00C442B1" w:rsidP="00C442B1">
      <w:pPr>
        <w:jc w:val="center"/>
        <w:rPr>
          <w:rFonts w:ascii="Gill Sans MT" w:hAnsi="Gill Sans MT"/>
          <w:lang w:val="es-ES"/>
        </w:rPr>
      </w:pPr>
      <w:r>
        <w:rPr>
          <w:rFonts w:ascii="Gill Sans MT" w:hAnsi="Gill Sans MT"/>
          <w:lang w:val="es-ES"/>
        </w:rPr>
        <w:t>Dirección de Innovación Educativa</w:t>
      </w:r>
    </w:p>
    <w:p w:rsidR="00C442B1" w:rsidRPr="00D57739" w:rsidRDefault="00C442B1" w:rsidP="00C442B1">
      <w:pPr>
        <w:jc w:val="center"/>
        <w:rPr>
          <w:rFonts w:ascii="Gill Sans MT" w:hAnsi="Gill Sans MT"/>
          <w:lang w:val="es-ES"/>
        </w:rPr>
      </w:pPr>
      <w:r>
        <w:rPr>
          <w:rFonts w:ascii="Gill Sans MT" w:hAnsi="Gill Sans MT"/>
          <w:lang w:val="es-ES"/>
        </w:rPr>
        <w:t>Departamento de Desarrollo Curricular</w:t>
      </w:r>
    </w:p>
    <w:p w:rsidR="00C442B1" w:rsidRDefault="00C442B1" w:rsidP="00C442B1"/>
    <w:p w:rsidR="00C442B1" w:rsidRDefault="00C442B1" w:rsidP="00C442B1">
      <w:pPr>
        <w:jc w:val="center"/>
      </w:pPr>
      <w:r>
        <w:rPr>
          <w:rFonts w:ascii="Gill Sans MT" w:hAnsi="Gill Sans MT"/>
          <w:b/>
          <w:color w:val="002060"/>
          <w:sz w:val="28"/>
        </w:rPr>
        <w:t xml:space="preserve">Disposiciones para la presentación de los Planes </w:t>
      </w:r>
      <w:r w:rsidR="00B82A38">
        <w:rPr>
          <w:rFonts w:ascii="Gill Sans MT" w:hAnsi="Gill Sans MT"/>
          <w:b/>
          <w:color w:val="002060"/>
          <w:sz w:val="28"/>
        </w:rPr>
        <w:t xml:space="preserve"> de estudio</w:t>
      </w:r>
      <w:r w:rsidR="00170574">
        <w:rPr>
          <w:rFonts w:ascii="Gill Sans MT" w:hAnsi="Gill Sans MT"/>
          <w:b/>
          <w:color w:val="002060"/>
          <w:sz w:val="28"/>
        </w:rPr>
        <w:t>.</w:t>
      </w:r>
    </w:p>
    <w:p w:rsidR="00C442B1" w:rsidRDefault="00C442B1" w:rsidP="00C442B1">
      <w:pPr>
        <w:jc w:val="right"/>
      </w:pPr>
    </w:p>
    <w:p w:rsidR="00C442B1" w:rsidRPr="00776F8C" w:rsidRDefault="00C442B1" w:rsidP="00C442B1">
      <w:pPr>
        <w:jc w:val="right"/>
      </w:pPr>
      <w:r w:rsidRPr="00776F8C">
        <w:t>Marzo 2021</w:t>
      </w:r>
      <w:r w:rsidR="00776F8C">
        <w:t>.</w:t>
      </w:r>
    </w:p>
    <w:p w:rsidR="00C442B1" w:rsidRPr="00AA63C5" w:rsidRDefault="00C442B1" w:rsidP="00C442B1">
      <w:pPr>
        <w:jc w:val="both"/>
        <w:rPr>
          <w:rFonts w:ascii="Times New Roman" w:hAnsi="Times New Roman" w:cs="Times New Roman"/>
        </w:rPr>
      </w:pPr>
    </w:p>
    <w:p w:rsidR="00C442B1" w:rsidRPr="00AA63C5" w:rsidRDefault="00C442B1" w:rsidP="00C442B1">
      <w:pPr>
        <w:jc w:val="both"/>
        <w:rPr>
          <w:rFonts w:ascii="Times New Roman" w:hAnsi="Times New Roman" w:cs="Times New Roman"/>
          <w:b/>
        </w:rPr>
      </w:pPr>
      <w:r w:rsidRPr="00AA63C5">
        <w:rPr>
          <w:rFonts w:ascii="Times New Roman" w:hAnsi="Times New Roman" w:cs="Times New Roman"/>
          <w:b/>
        </w:rPr>
        <w:t>Presentación</w:t>
      </w:r>
      <w:r w:rsidR="00AA63C5" w:rsidRPr="00AA63C5">
        <w:rPr>
          <w:rFonts w:ascii="Times New Roman" w:hAnsi="Times New Roman" w:cs="Times New Roman"/>
          <w:b/>
        </w:rPr>
        <w:t>.</w:t>
      </w:r>
    </w:p>
    <w:p w:rsidR="00B82A38" w:rsidRPr="00AA63C5" w:rsidRDefault="00AA63C5" w:rsidP="00C442B1">
      <w:pPr>
        <w:jc w:val="both"/>
        <w:rPr>
          <w:rFonts w:ascii="Times New Roman" w:hAnsi="Times New Roman" w:cs="Times New Roman"/>
        </w:rPr>
      </w:pPr>
      <w:r w:rsidRPr="00AA63C5">
        <w:rPr>
          <w:rFonts w:ascii="Times New Roman" w:hAnsi="Times New Roman" w:cs="Times New Roman"/>
        </w:rPr>
        <w:t>Con la intención de asegurar</w:t>
      </w:r>
      <w:r>
        <w:rPr>
          <w:rFonts w:ascii="Times New Roman" w:hAnsi="Times New Roman" w:cs="Times New Roman"/>
        </w:rPr>
        <w:t xml:space="preserve"> </w:t>
      </w:r>
      <w:r w:rsidR="00B82A38">
        <w:rPr>
          <w:rFonts w:ascii="Times New Roman" w:hAnsi="Times New Roman" w:cs="Times New Roman"/>
        </w:rPr>
        <w:t xml:space="preserve">la armonización en </w:t>
      </w:r>
      <w:r>
        <w:rPr>
          <w:rFonts w:ascii="Times New Roman" w:hAnsi="Times New Roman" w:cs="Times New Roman"/>
        </w:rPr>
        <w:t>el discurso académico que se expresa en los planes de estudio</w:t>
      </w:r>
      <w:r w:rsidR="00B82A38">
        <w:rPr>
          <w:rFonts w:ascii="Times New Roman" w:hAnsi="Times New Roman" w:cs="Times New Roman"/>
        </w:rPr>
        <w:t>, se presentan las disposiciones para su presentación. Se trata de tres secciones que orientan la presentación, expresión lingüística y el formato de los documentos en el entendido que su cumplimiento facilita la comprensión y portabilidad de los mismos.</w:t>
      </w:r>
    </w:p>
    <w:p w:rsidR="00C442B1" w:rsidRDefault="00C442B1" w:rsidP="00B82A38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</w:pPr>
    </w:p>
    <w:p w:rsidR="00C442B1" w:rsidRDefault="00C442B1" w:rsidP="00333EC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</w:pPr>
    </w:p>
    <w:p w:rsidR="00B82A38" w:rsidRPr="005B0DDE" w:rsidRDefault="00B82A38" w:rsidP="005B0DDE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</w:pPr>
      <w:r w:rsidRPr="005B0DDE"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  <w:t>Presentación.</w:t>
      </w:r>
    </w:p>
    <w:p w:rsidR="00B83E03" w:rsidRDefault="00B82A38" w:rsidP="00B83E0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82A38">
        <w:rPr>
          <w:rFonts w:ascii="Times New Roman" w:eastAsia="Times New Roman" w:hAnsi="Times New Roman" w:cs="Times New Roman"/>
          <w:color w:val="000000" w:themeColor="text1"/>
          <w:lang w:eastAsia="es-ES_tradnl"/>
        </w:rPr>
        <w:t>El</w:t>
      </w:r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documento </w:t>
      </w:r>
      <w:r w:rsidR="00B83E03">
        <w:rPr>
          <w:rFonts w:ascii="Times New Roman" w:eastAsia="Times New Roman" w:hAnsi="Times New Roman" w:cs="Times New Roman"/>
          <w:color w:val="000000" w:themeColor="text1"/>
          <w:lang w:eastAsia="es-ES_tradnl"/>
        </w:rPr>
        <w:t>deberá entregarse en archivo PDF y en word, amb</w:t>
      </w:r>
      <w:r w:rsidR="0088645C">
        <w:rPr>
          <w:rFonts w:ascii="Times New Roman" w:eastAsia="Times New Roman" w:hAnsi="Times New Roman" w:cs="Times New Roman"/>
          <w:color w:val="000000" w:themeColor="text1"/>
          <w:lang w:eastAsia="es-ES_tradnl"/>
        </w:rPr>
        <w:t>o</w:t>
      </w:r>
      <w:r w:rsidR="00B83E03">
        <w:rPr>
          <w:rFonts w:ascii="Times New Roman" w:eastAsia="Times New Roman" w:hAnsi="Times New Roman" w:cs="Times New Roman"/>
          <w:color w:val="000000" w:themeColor="text1"/>
          <w:lang w:eastAsia="es-ES_tradnl"/>
        </w:rPr>
        <w:t>s de manera digital.</w:t>
      </w:r>
    </w:p>
    <w:p w:rsidR="00B83E03" w:rsidRPr="00B83E03" w:rsidRDefault="00B83E03" w:rsidP="00B83E0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El documento sigue el orden dispuesto en </w:t>
      </w:r>
      <w:r w:rsidR="0088645C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la </w:t>
      </w:r>
      <w:r w:rsidR="0088645C" w:rsidRPr="0088645C">
        <w:rPr>
          <w:rFonts w:ascii="Times New Roman" w:eastAsia="Times New Roman" w:hAnsi="Times New Roman" w:cs="Times New Roman"/>
          <w:i/>
          <w:color w:val="000000" w:themeColor="text1"/>
          <w:lang w:eastAsia="es-ES_tradnl"/>
        </w:rPr>
        <w:t>Estructura del</w:t>
      </w:r>
      <w:r w:rsidR="0088645C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r w:rsidR="00047456" w:rsidRPr="00047456">
        <w:rPr>
          <w:rFonts w:ascii="Times New Roman" w:eastAsia="Times New Roman" w:hAnsi="Times New Roman" w:cs="Times New Roman"/>
          <w:i/>
          <w:color w:val="000000" w:themeColor="text1"/>
          <w:lang w:eastAsia="es-ES_tradnl"/>
        </w:rPr>
        <w:t>Plan de estudios</w:t>
      </w:r>
      <w:r w:rsidR="00C71032">
        <w:rPr>
          <w:rFonts w:ascii="Times New Roman" w:eastAsia="Times New Roman" w:hAnsi="Times New Roman" w:cs="Times New Roman"/>
          <w:i/>
          <w:color w:val="000000" w:themeColor="text1"/>
          <w:lang w:eastAsia="es-ES_tradnl"/>
        </w:rPr>
        <w:t>.</w:t>
      </w:r>
    </w:p>
    <w:p w:rsidR="00D61307" w:rsidRPr="005B0DDE" w:rsidRDefault="00D61307" w:rsidP="005B0DDE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</w:pPr>
      <w:r w:rsidRPr="005B0DDE"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  <w:t>Expresión lingüística.</w:t>
      </w:r>
    </w:p>
    <w:p w:rsidR="00A1222F" w:rsidRPr="00333EC4" w:rsidRDefault="00D61307" w:rsidP="00333EC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El documento del plan de estudios deberá ser escrito con mayúsculas y minúsculas, obedeciendo las normas y reglas de ortografía y redacción debidas con base en el idioma en el que se redacta.</w:t>
      </w:r>
    </w:p>
    <w:p w:rsidR="00D61307" w:rsidRPr="00333EC4" w:rsidRDefault="00D61307" w:rsidP="00333EC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Lenguaje académico sencillo y accesible a cualquier lector, evitando el uso del coloquial.</w:t>
      </w:r>
    </w:p>
    <w:p w:rsidR="00D61307" w:rsidRPr="00333EC4" w:rsidRDefault="00D61307" w:rsidP="00333EC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Organización lógica de ideas, frases y párrafos (por ejemplo, ir de lo general a lo particular).</w:t>
      </w:r>
    </w:p>
    <w:p w:rsidR="00D61307" w:rsidRPr="00333EC4" w:rsidRDefault="00D61307" w:rsidP="00333EC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Coherencia y cohesión discursiva entre ideas: utiliza</w:t>
      </w:r>
      <w:r w:rsidR="00E36C7C">
        <w:rPr>
          <w:rFonts w:ascii="Times New Roman" w:eastAsia="Times New Roman" w:hAnsi="Times New Roman" w:cs="Times New Roman"/>
          <w:color w:val="000000" w:themeColor="text1"/>
          <w:lang w:eastAsia="es-ES_tradnl"/>
        </w:rPr>
        <w:t>r</w:t>
      </w:r>
      <w:bookmarkStart w:id="0" w:name="_GoBack"/>
      <w:bookmarkEnd w:id="0"/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conectores, evita</w:t>
      </w:r>
      <w:r w:rsidR="00E36C7C">
        <w:rPr>
          <w:rFonts w:ascii="Times New Roman" w:eastAsia="Times New Roman" w:hAnsi="Times New Roman" w:cs="Times New Roman"/>
          <w:color w:val="000000" w:themeColor="text1"/>
          <w:lang w:eastAsia="es-ES_tradnl"/>
        </w:rPr>
        <w:t>r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la repetición de éstas y de conceptos; y entre párrafos, éstos cuentan con una idea central, su desarrollo y cierre; se conectan entre sí.</w:t>
      </w:r>
    </w:p>
    <w:p w:rsidR="00D61307" w:rsidRPr="00333EC4" w:rsidRDefault="00D61307" w:rsidP="00333EC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Términos técnicos explicados dentro del texto o con nota al pie.</w:t>
      </w:r>
    </w:p>
    <w:p w:rsidR="00D61307" w:rsidRPr="00333EC4" w:rsidRDefault="00D61307" w:rsidP="00333EC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</w:p>
    <w:p w:rsidR="00D61307" w:rsidRPr="00333EC4" w:rsidRDefault="00B82A38" w:rsidP="00333EC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  <w:t>3</w:t>
      </w:r>
      <w:r w:rsidR="00D61307" w:rsidRPr="00333EC4"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  <w:t>.</w:t>
      </w:r>
      <w:r w:rsidR="00D61307" w:rsidRPr="00333EC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B0DD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61307" w:rsidRPr="00333EC4">
        <w:rPr>
          <w:rFonts w:ascii="Times New Roman" w:hAnsi="Times New Roman" w:cs="Times New Roman"/>
          <w:b/>
          <w:color w:val="000000" w:themeColor="text1"/>
        </w:rPr>
        <w:t>Formato</w:t>
      </w:r>
      <w:r w:rsidR="00333EC4" w:rsidRPr="00333EC4">
        <w:rPr>
          <w:rFonts w:ascii="Times New Roman" w:hAnsi="Times New Roman" w:cs="Times New Roman"/>
          <w:b/>
          <w:color w:val="000000" w:themeColor="text1"/>
        </w:rPr>
        <w:t>.</w:t>
      </w:r>
    </w:p>
    <w:p w:rsidR="00D61307" w:rsidRPr="00333EC4" w:rsidRDefault="00D61307" w:rsidP="00333EC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lastRenderedPageBreak/>
        <w:t>Tipografía: Times New Roman 12 puntos, color negro.</w:t>
      </w:r>
    </w:p>
    <w:p w:rsidR="00D61307" w:rsidRPr="00333EC4" w:rsidRDefault="00D61307" w:rsidP="00333EC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Tipo de archivo PDF, a una columna, interlineado sencillo; márgenes superior e inferior de 2.5 cm e izquierdo y derecho de 3 cm</w:t>
      </w:r>
      <w:r w:rsidR="0088645C">
        <w:rPr>
          <w:rFonts w:ascii="Times New Roman" w:eastAsia="Times New Roman" w:hAnsi="Times New Roman" w:cs="Times New Roman"/>
          <w:color w:val="000000" w:themeColor="text1"/>
          <w:lang w:eastAsia="es-ES_tradnl"/>
        </w:rPr>
        <w:t>; archivo Word, a una columna, interlineado sencillo;</w:t>
      </w:r>
      <w:r w:rsidR="0088645C" w:rsidRPr="0088645C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r w:rsidR="0088645C"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márgenes superior e inferior de 2.5 cm e izquierdo y derecho de 3 cm</w:t>
      </w:r>
      <w:r w:rsidR="0088645C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</w:p>
    <w:p w:rsidR="00D61307" w:rsidRPr="00333EC4" w:rsidRDefault="00D61307" w:rsidP="00333EC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Uso de sangría en todos los párrafos, exceptuando el primero después de títulos y subtítulos.</w:t>
      </w:r>
    </w:p>
    <w:p w:rsidR="00D61307" w:rsidRPr="00333EC4" w:rsidRDefault="00D61307" w:rsidP="00333EC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Siglas acompañadas de su significado la primera vez que aparezcan en el texto; con formato de versalitas.</w:t>
      </w:r>
    </w:p>
    <w:p w:rsidR="005B0DDE" w:rsidRDefault="00D61307" w:rsidP="00333EC4">
      <w:pPr>
        <w:pStyle w:val="Prrafodelista"/>
        <w:numPr>
          <w:ilvl w:val="0"/>
          <w:numId w:val="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En el caso de tener Tablas, las tablas de estilo APA tienen los siguientes componentes básicos: </w:t>
      </w:r>
    </w:p>
    <w:p w:rsidR="00D61307" w:rsidRPr="00333EC4" w:rsidRDefault="00D61307" w:rsidP="005B0DDE">
      <w:pPr>
        <w:pStyle w:val="Prrafodelista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5B0DDE"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  <w:t>Número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: el número de la tabla aparece sobre el título y el cuerpo de la tabla en negrita. Numer</w:t>
      </w:r>
      <w:r w:rsidR="00620D05">
        <w:rPr>
          <w:rFonts w:ascii="Times New Roman" w:eastAsia="Times New Roman" w:hAnsi="Times New Roman" w:cs="Times New Roman"/>
          <w:color w:val="000000" w:themeColor="text1"/>
          <w:lang w:eastAsia="es-ES_tradnl"/>
        </w:rPr>
        <w:t>ar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las tablas en el orden en que se mencionan en </w:t>
      </w:r>
      <w:r w:rsidR="00AA63C5">
        <w:rPr>
          <w:rFonts w:ascii="Times New Roman" w:eastAsia="Times New Roman" w:hAnsi="Times New Roman" w:cs="Times New Roman"/>
          <w:color w:val="000000" w:themeColor="text1"/>
          <w:lang w:eastAsia="es-ES_tradnl"/>
        </w:rPr>
        <w:t>el documento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. </w:t>
      </w:r>
    </w:p>
    <w:p w:rsidR="00D61307" w:rsidRPr="00D61307" w:rsidRDefault="00D61307" w:rsidP="00333EC4">
      <w:pPr>
        <w:spacing w:line="360" w:lineRule="auto"/>
        <w:ind w:left="708" w:firstLine="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5B0DDE"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  <w:t>Título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: El título de la tabla aparece una línea a doble espacio debajo del número de la tabla. Asign</w:t>
      </w:r>
      <w:r w:rsidR="00620D05">
        <w:rPr>
          <w:rFonts w:ascii="Times New Roman" w:eastAsia="Times New Roman" w:hAnsi="Times New Roman" w:cs="Times New Roman"/>
          <w:color w:val="000000" w:themeColor="text1"/>
          <w:lang w:eastAsia="es-ES_tradnl"/>
        </w:rPr>
        <w:t>ar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a cada tabla un título breve pero descriptivo, y capitali</w:t>
      </w:r>
      <w:r w:rsidR="00620D05">
        <w:rPr>
          <w:rFonts w:ascii="Times New Roman" w:eastAsia="Times New Roman" w:hAnsi="Times New Roman" w:cs="Times New Roman"/>
          <w:color w:val="000000" w:themeColor="text1"/>
          <w:lang w:eastAsia="es-ES_tradnl"/>
        </w:rPr>
        <w:t>zar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el título de la tabla en mayúsculas y minúsculas. </w:t>
      </w:r>
    </w:p>
    <w:p w:rsidR="00D61307" w:rsidRPr="00D61307" w:rsidRDefault="00D61307" w:rsidP="00333EC4">
      <w:pPr>
        <w:spacing w:line="360" w:lineRule="auto"/>
        <w:ind w:left="708" w:firstLine="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5B0DDE"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  <w:t>Encabezados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: las tablas pueden incluir una variedad de encabezados dependiendo de la naturaleza y disposición de los datos. Todas las tablas deben incluir encabezados de columna, incluido un encabezado de apéndice (encabezado para la columna del extremo izquierdo o apéndice). </w:t>
      </w:r>
    </w:p>
    <w:p w:rsidR="00333EC4" w:rsidRDefault="00D61307" w:rsidP="00333EC4">
      <w:pPr>
        <w:spacing w:line="360" w:lineRule="auto"/>
        <w:ind w:left="708" w:firstLine="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5B0DDE"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  <w:t>Cuerpo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: El cuerpo de la tabla incluye todas las filas y columnas de una tabla (incluida la fila de encabezados). El cuerpo de la tabla puede ser de espacio simple, de espacio y medio, o de doble espacio. Aline</w:t>
      </w:r>
      <w:r w:rsidR="0088645C">
        <w:rPr>
          <w:rFonts w:ascii="Times New Roman" w:eastAsia="Times New Roman" w:hAnsi="Times New Roman" w:cs="Times New Roman"/>
          <w:color w:val="000000" w:themeColor="text1"/>
          <w:lang w:eastAsia="es-ES_tradnl"/>
        </w:rPr>
        <w:t>ar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a la izquierda la información en la columna o columna del extremo de la izquierda del cuerpo de la tabla (pero centr</w:t>
      </w:r>
      <w:r w:rsidR="0088645C">
        <w:rPr>
          <w:rFonts w:ascii="Times New Roman" w:eastAsia="Times New Roman" w:hAnsi="Times New Roman" w:cs="Times New Roman"/>
          <w:color w:val="000000" w:themeColor="text1"/>
          <w:lang w:eastAsia="es-ES_tradnl"/>
        </w:rPr>
        <w:t>ar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el encabezado). En general, centr</w:t>
      </w:r>
      <w:r w:rsidR="0088645C">
        <w:rPr>
          <w:rFonts w:ascii="Times New Roman" w:eastAsia="Times New Roman" w:hAnsi="Times New Roman" w:cs="Times New Roman"/>
          <w:color w:val="000000" w:themeColor="text1"/>
          <w:lang w:eastAsia="es-ES_tradnl"/>
        </w:rPr>
        <w:t>ar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la información en todas las demás celdas de la tabla. Sin embargo, aline</w:t>
      </w:r>
      <w:r w:rsidR="0088645C">
        <w:rPr>
          <w:rFonts w:ascii="Times New Roman" w:eastAsia="Times New Roman" w:hAnsi="Times New Roman" w:cs="Times New Roman"/>
          <w:color w:val="000000" w:themeColor="text1"/>
          <w:lang w:eastAsia="es-ES_tradnl"/>
        </w:rPr>
        <w:t>ar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a la izquierda la información si hacerlo mejora</w:t>
      </w:r>
      <w:r w:rsidR="0088645C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la legibilidad, particularmente cuando las celdas contienen mucho texto. </w:t>
      </w:r>
    </w:p>
    <w:p w:rsidR="00D61307" w:rsidRPr="00333EC4" w:rsidRDefault="00D61307" w:rsidP="00333EC4">
      <w:pPr>
        <w:pStyle w:val="Prrafodelista"/>
        <w:numPr>
          <w:ilvl w:val="0"/>
          <w:numId w:val="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En cuanto al uso de figuras,  gráficos de líneas, gráficos de barras, diagramas (por ejemplo, diagramas de flujo, gráficos circulares), dibujos, mapas, diagramas (por ejemplo, diagramas de dispersión), fotografías, infografías y otras ilustraciones</w:t>
      </w:r>
      <w:r w:rsid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tienen los siguientes componentes básicos</w:t>
      </w:r>
      <w:r w:rsid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en</w:t>
      </w:r>
      <w:r w:rsidR="00333EC4"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estilo APA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: </w:t>
      </w:r>
    </w:p>
    <w:p w:rsidR="00D61307" w:rsidRPr="00D61307" w:rsidRDefault="00D61307" w:rsidP="00333EC4">
      <w:pPr>
        <w:spacing w:line="360" w:lineRule="auto"/>
        <w:ind w:left="708" w:firstLine="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5B0DDE"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  <w:lastRenderedPageBreak/>
        <w:t>Número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: el número de la figura aparece sobre el título de la figura y la imagen en negrita. Numer</w:t>
      </w:r>
      <w:r w:rsidR="0088645C">
        <w:rPr>
          <w:rFonts w:ascii="Times New Roman" w:eastAsia="Times New Roman" w:hAnsi="Times New Roman" w:cs="Times New Roman"/>
          <w:color w:val="000000" w:themeColor="text1"/>
          <w:lang w:eastAsia="es-ES_tradnl"/>
        </w:rPr>
        <w:t>ar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las figuras en el orden en que se mencionan en </w:t>
      </w:r>
      <w:r w:rsidR="0088645C">
        <w:rPr>
          <w:rFonts w:ascii="Times New Roman" w:eastAsia="Times New Roman" w:hAnsi="Times New Roman" w:cs="Times New Roman"/>
          <w:color w:val="000000" w:themeColor="text1"/>
          <w:lang w:eastAsia="es-ES_tradnl"/>
        </w:rPr>
        <w:t>el documento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. </w:t>
      </w:r>
    </w:p>
    <w:p w:rsidR="00D61307" w:rsidRPr="00D61307" w:rsidRDefault="00D61307" w:rsidP="00333EC4">
      <w:pPr>
        <w:spacing w:line="360" w:lineRule="auto"/>
        <w:ind w:left="708" w:firstLine="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5B0DDE"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  <w:t>Título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: El título de la figura aparece una línea a doble espacio debajo del número de la figura. D</w:t>
      </w:r>
      <w:r w:rsidR="0088645C">
        <w:rPr>
          <w:rFonts w:ascii="Times New Roman" w:eastAsia="Times New Roman" w:hAnsi="Times New Roman" w:cs="Times New Roman"/>
          <w:color w:val="000000" w:themeColor="text1"/>
          <w:lang w:eastAsia="es-ES_tradnl"/>
        </w:rPr>
        <w:t>ar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a cada figura un título breve pero descriptivo, y escrib</w:t>
      </w:r>
      <w:r w:rsidR="0088645C">
        <w:rPr>
          <w:rFonts w:ascii="Times New Roman" w:eastAsia="Times New Roman" w:hAnsi="Times New Roman" w:cs="Times New Roman"/>
          <w:color w:val="000000" w:themeColor="text1"/>
          <w:lang w:eastAsia="es-ES_tradnl"/>
        </w:rPr>
        <w:t>ir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en mayúscula el título de la figura en mayúsculas y minúsculas.  </w:t>
      </w:r>
    </w:p>
    <w:p w:rsidR="00D61307" w:rsidRPr="00D61307" w:rsidRDefault="00D61307" w:rsidP="00333EC4">
      <w:pPr>
        <w:spacing w:line="360" w:lineRule="auto"/>
        <w:ind w:left="708" w:firstLine="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5B0DDE"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  <w:t>Imagen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: La parte de la imagen de la figura es el gráfico, cuadro, fotografía, dibujo u otra ilustración en sí. Si aparece texto en la imagen de la figura (p. Ej., Etiquetas de eje), us</w:t>
      </w:r>
      <w:r w:rsidR="0088645C">
        <w:rPr>
          <w:rFonts w:ascii="Times New Roman" w:eastAsia="Times New Roman" w:hAnsi="Times New Roman" w:cs="Times New Roman"/>
          <w:color w:val="000000" w:themeColor="text1"/>
          <w:lang w:eastAsia="es-ES_tradnl"/>
        </w:rPr>
        <w:t>ar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una fuente sans serif entre 8 y 14 puntos. Leyenda: una leyenda de la figura, o clave, si está presente, debe colocarse dentro de los bordes de la figura y explica</w:t>
      </w:r>
      <w:r w:rsidR="0088645C">
        <w:rPr>
          <w:rFonts w:ascii="Times New Roman" w:eastAsia="Times New Roman" w:hAnsi="Times New Roman" w:cs="Times New Roman"/>
          <w:color w:val="000000" w:themeColor="text1"/>
          <w:lang w:eastAsia="es-ES_tradnl"/>
        </w:rPr>
        <w:t>r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cualquier símbolo usado en la imagen de la figura. Escrib</w:t>
      </w:r>
      <w:r w:rsidR="0088645C">
        <w:rPr>
          <w:rFonts w:ascii="Times New Roman" w:eastAsia="Times New Roman" w:hAnsi="Times New Roman" w:cs="Times New Roman"/>
          <w:color w:val="000000" w:themeColor="text1"/>
          <w:lang w:eastAsia="es-ES_tradnl"/>
        </w:rPr>
        <w:t>ir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con mayúscula las palabras en la leyenda de la figura en el caso del título.  </w:t>
      </w:r>
    </w:p>
    <w:p w:rsidR="00D61307" w:rsidRPr="00333EC4" w:rsidRDefault="00D61307" w:rsidP="00333EC4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El formato y estilo de citación es  </w:t>
      </w:r>
      <w:hyperlink r:id="rId6" w:history="1">
        <w:r w:rsidRPr="00333EC4">
          <w:rPr>
            <w:rFonts w:ascii="Times New Roman" w:eastAsia="Times New Roman" w:hAnsi="Times New Roman" w:cs="Times New Roman"/>
            <w:color w:val="000000" w:themeColor="text1"/>
            <w:u w:val="single"/>
            <w:lang w:eastAsia="es-ES_tradnl"/>
          </w:rPr>
          <w:t>7° Edición del Manual de Estilo de Publicaciones de la APA (</w:t>
        </w:r>
        <w:r w:rsidRPr="00333EC4">
          <w:rPr>
            <w:rFonts w:ascii="Times New Roman" w:eastAsia="Times New Roman" w:hAnsi="Times New Roman" w:cs="Times New Roman"/>
            <w:i/>
            <w:iCs/>
            <w:color w:val="000000" w:themeColor="text1"/>
            <w:lang w:eastAsia="es-ES_tradnl"/>
          </w:rPr>
          <w:t>American Psychological Association</w:t>
        </w:r>
        <w:r w:rsidRPr="00333EC4">
          <w:rPr>
            <w:rFonts w:ascii="Times New Roman" w:eastAsia="Times New Roman" w:hAnsi="Times New Roman" w:cs="Times New Roman"/>
            <w:color w:val="000000" w:themeColor="text1"/>
            <w:u w:val="single"/>
            <w:lang w:eastAsia="es-ES_tradnl"/>
          </w:rPr>
          <w:t>)</w:t>
        </w:r>
      </w:hyperlink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. Es importante cercior</w:t>
      </w:r>
      <w:r w:rsidR="0088645C">
        <w:rPr>
          <w:rFonts w:ascii="Times New Roman" w:eastAsia="Times New Roman" w:hAnsi="Times New Roman" w:cs="Times New Roman"/>
          <w:color w:val="000000" w:themeColor="text1"/>
          <w:lang w:eastAsia="es-ES_tradnl"/>
        </w:rPr>
        <w:t>arse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que las citas en el texto concuerden con las referencias. Las referencias al final del documento deben aparecer por orden alfabético, no numeradas, y en caso de que las referencias sean de autores hispanos o latinos que publican con los dos apellidos se deberá escribir los dos apellidos unidos con un guion. A continuación se presenta el modelo de citación:</w:t>
      </w:r>
    </w:p>
    <w:p w:rsidR="00D61307" w:rsidRPr="00333EC4" w:rsidRDefault="00D61307" w:rsidP="00333EC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333EC4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Artículo de publicación periódica: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 Velasco-Giles, M. G. (2014). Lenguaje, sujeto y subjetividad: tras los hilos de las palabras. </w:t>
      </w:r>
      <w:r w:rsidRPr="00333EC4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Academicus,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 </w:t>
      </w:r>
      <w:r w:rsidRPr="00333EC4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1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(5), 4-9. INCLUIR DOI SI FUERA EL CASO</w:t>
      </w:r>
    </w:p>
    <w:p w:rsidR="00D61307" w:rsidRPr="00333EC4" w:rsidRDefault="00D61307" w:rsidP="00333EC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333EC4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Capítulo de libro: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 Martín-Bernal, O. (2011). Educar en comunidad: promesas y realidades de la Web 2.0 para la innovación pedagógica. En R. Carneiro, J. Toscano y T. Díaz-Fouz.  </w:t>
      </w:r>
      <w:r w:rsidRPr="00333EC4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Los desafíos de la Tic para el cambio educativo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 (pp. 79-93).</w:t>
      </w:r>
      <w:r w:rsidRPr="00333EC4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 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Madrid: Fundación Santillana. </w:t>
      </w:r>
    </w:p>
    <w:p w:rsidR="00D61307" w:rsidRPr="00333EC4" w:rsidRDefault="00D61307" w:rsidP="00333EC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333EC4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Libro: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 Peñalosa-Castro, E. (2013). </w:t>
      </w:r>
      <w:r w:rsidRPr="00333EC4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Estrategias docentes con tecnologías: Guía prática. 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México: Pearson. </w:t>
      </w:r>
    </w:p>
    <w:p w:rsidR="00D61307" w:rsidRPr="00333EC4" w:rsidRDefault="00D61307" w:rsidP="00333EC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333EC4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Documentos de gobierno o universidades: 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UADY (2013). </w:t>
      </w:r>
      <w:r w:rsidRPr="00333EC4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Programa insitucional de habilitación en el MEFI. 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México: UADY. </w:t>
      </w:r>
    </w:p>
    <w:p w:rsidR="00D61307" w:rsidRPr="00860857" w:rsidRDefault="00D61307" w:rsidP="00333EC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333EC4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lastRenderedPageBreak/>
        <w:t>Documentos de gobierno o univerisdades en línea: 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OCDE (2005). </w:t>
      </w:r>
      <w:r w:rsidRPr="00333EC4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La definición y selección de competencias clave. Resumen ejecutivo. </w:t>
      </w:r>
      <w:r w:rsidRPr="00333EC4">
        <w:rPr>
          <w:rFonts w:ascii="Times New Roman" w:eastAsia="Times New Roman" w:hAnsi="Times New Roman" w:cs="Times New Roman"/>
          <w:color w:val="000000" w:themeColor="text1"/>
          <w:lang w:eastAsia="es-ES_tradnl"/>
        </w:rPr>
        <w:t>Recuperado el 13 de febrero de 2016 de http://www.deseco.admin.ch/bfs/deseco/en/index/03/02download. </w:t>
      </w:r>
    </w:p>
    <w:sectPr w:rsidR="00D61307" w:rsidRPr="00860857" w:rsidSect="00BA55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47275"/>
    <w:multiLevelType w:val="hybridMultilevel"/>
    <w:tmpl w:val="77A8DA6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92E66"/>
    <w:multiLevelType w:val="hybridMultilevel"/>
    <w:tmpl w:val="E016411C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B58B7"/>
    <w:multiLevelType w:val="hybridMultilevel"/>
    <w:tmpl w:val="4CC206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75CE1"/>
    <w:multiLevelType w:val="multilevel"/>
    <w:tmpl w:val="CA76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BF478A"/>
    <w:multiLevelType w:val="hybridMultilevel"/>
    <w:tmpl w:val="82101BD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8394E"/>
    <w:multiLevelType w:val="hybridMultilevel"/>
    <w:tmpl w:val="5434A67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07"/>
    <w:rsid w:val="00047456"/>
    <w:rsid w:val="00054AFC"/>
    <w:rsid w:val="00170574"/>
    <w:rsid w:val="00270D49"/>
    <w:rsid w:val="00292CF7"/>
    <w:rsid w:val="00333EC4"/>
    <w:rsid w:val="005B0DDE"/>
    <w:rsid w:val="00620D05"/>
    <w:rsid w:val="006B40F2"/>
    <w:rsid w:val="00776F8C"/>
    <w:rsid w:val="00846AD7"/>
    <w:rsid w:val="00860857"/>
    <w:rsid w:val="0088645C"/>
    <w:rsid w:val="00A051CE"/>
    <w:rsid w:val="00AA63C5"/>
    <w:rsid w:val="00B82A38"/>
    <w:rsid w:val="00B83E03"/>
    <w:rsid w:val="00BA55BC"/>
    <w:rsid w:val="00C442B1"/>
    <w:rsid w:val="00C71032"/>
    <w:rsid w:val="00CB3F2E"/>
    <w:rsid w:val="00D17E58"/>
    <w:rsid w:val="00D61307"/>
    <w:rsid w:val="00E36C7C"/>
    <w:rsid w:val="00E4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B786"/>
  <w15:chartTrackingRefBased/>
  <w15:docId w15:val="{C8F70EC7-236D-714C-AB21-3E003ACF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D61307"/>
  </w:style>
  <w:style w:type="character" w:customStyle="1" w:styleId="apple-converted-space">
    <w:name w:val="apple-converted-space"/>
    <w:basedOn w:val="Fuentedeprrafopredeter"/>
    <w:rsid w:val="00D61307"/>
  </w:style>
  <w:style w:type="character" w:customStyle="1" w:styleId="eop">
    <w:name w:val="eop"/>
    <w:basedOn w:val="Fuentedeprrafopredeter"/>
    <w:rsid w:val="00D61307"/>
  </w:style>
  <w:style w:type="paragraph" w:customStyle="1" w:styleId="paragraph">
    <w:name w:val="paragraph"/>
    <w:basedOn w:val="Normal"/>
    <w:rsid w:val="00D613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33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22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0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1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5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5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astyle.apa.org/instructional-aids/tutorials-webina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918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2021-03-24T15:56:00Z</dcterms:created>
  <dcterms:modified xsi:type="dcterms:W3CDTF">2021-04-13T00:00:00Z</dcterms:modified>
</cp:coreProperties>
</file>