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958" w:rsidRDefault="00134958" w:rsidP="00FF5FBE">
      <w:pPr>
        <w:jc w:val="center"/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28A32587" wp14:editId="15E37C12">
            <wp:extent cx="1073888" cy="948852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zsinfondo-696x598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836"/>
                    <a:stretch/>
                  </pic:blipFill>
                  <pic:spPr bwMode="auto">
                    <a:xfrm>
                      <a:off x="0" y="0"/>
                      <a:ext cx="1095996" cy="968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958" w:rsidRDefault="00134958" w:rsidP="00134958">
      <w:pPr>
        <w:jc w:val="center"/>
        <w:rPr>
          <w:rFonts w:ascii="Gill Sans MT" w:hAnsi="Gill Sans MT"/>
          <w:lang w:val="es-ES"/>
        </w:rPr>
      </w:pPr>
      <w:r w:rsidRPr="00D57739">
        <w:rPr>
          <w:rFonts w:ascii="Gill Sans MT" w:hAnsi="Gill Sans MT"/>
          <w:lang w:val="es-ES"/>
        </w:rPr>
        <w:t>Dirección General de Desarrollo Académico e Innovación Educativa</w:t>
      </w:r>
    </w:p>
    <w:p w:rsidR="00134958" w:rsidRDefault="00134958" w:rsidP="00134958">
      <w:pPr>
        <w:jc w:val="center"/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t>Dirección de Innovación Educativa</w:t>
      </w:r>
    </w:p>
    <w:p w:rsidR="00134958" w:rsidRPr="00D57739" w:rsidRDefault="00134958" w:rsidP="00134958">
      <w:pPr>
        <w:jc w:val="center"/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t>Departamento de Desarrollo Curricular</w:t>
      </w:r>
    </w:p>
    <w:p w:rsidR="00134958" w:rsidRDefault="00134958"/>
    <w:p w:rsidR="009D328F" w:rsidRDefault="009D328F" w:rsidP="009D328F">
      <w:pPr>
        <w:jc w:val="center"/>
      </w:pPr>
      <w:r>
        <w:rPr>
          <w:rFonts w:ascii="Gill Sans MT" w:hAnsi="Gill Sans MT"/>
          <w:b/>
          <w:color w:val="002060"/>
          <w:sz w:val="28"/>
        </w:rPr>
        <w:t>Plan de seguimiento para planes y programas de estudio de nueva creación</w:t>
      </w:r>
      <w:r w:rsidR="00621716">
        <w:rPr>
          <w:rFonts w:ascii="Gill Sans MT" w:hAnsi="Gill Sans MT"/>
          <w:b/>
          <w:color w:val="002060"/>
          <w:sz w:val="28"/>
        </w:rPr>
        <w:t>.</w:t>
      </w:r>
    </w:p>
    <w:p w:rsidR="009D328F" w:rsidRDefault="009D328F" w:rsidP="009D328F">
      <w:pPr>
        <w:jc w:val="right"/>
      </w:pPr>
    </w:p>
    <w:p w:rsidR="009D328F" w:rsidRPr="009D328F" w:rsidRDefault="009D328F" w:rsidP="009D328F">
      <w:pPr>
        <w:jc w:val="right"/>
        <w:rPr>
          <w:i/>
        </w:rPr>
      </w:pPr>
      <w:r w:rsidRPr="009D328F">
        <w:rPr>
          <w:i/>
        </w:rPr>
        <w:t>Octubre 2020</w:t>
      </w:r>
    </w:p>
    <w:p w:rsidR="00EF6624" w:rsidRDefault="00EF6624" w:rsidP="00EF6624">
      <w:pPr>
        <w:jc w:val="both"/>
        <w:rPr>
          <w:rFonts w:ascii="Gill Sans MT" w:hAnsi="Gill Sans MT"/>
        </w:rPr>
      </w:pPr>
      <w:bookmarkStart w:id="0" w:name="_GoBack"/>
      <w:bookmarkEnd w:id="0"/>
    </w:p>
    <w:p w:rsidR="00335CBE" w:rsidRDefault="00335CBE" w:rsidP="00335CBE">
      <w:pPr>
        <w:jc w:val="both"/>
        <w:rPr>
          <w:rFonts w:ascii="Gill Sans MT" w:hAnsi="Gill Sans MT"/>
          <w:b/>
        </w:rPr>
      </w:pPr>
      <w:r w:rsidRPr="007802F1">
        <w:rPr>
          <w:rFonts w:ascii="Gill Sans MT" w:hAnsi="Gill Sans MT"/>
          <w:b/>
        </w:rPr>
        <w:t>Presentación</w:t>
      </w:r>
    </w:p>
    <w:p w:rsidR="006C5DC5" w:rsidRPr="007802F1" w:rsidRDefault="006C5DC5" w:rsidP="00335CBE">
      <w:pPr>
        <w:jc w:val="both"/>
        <w:rPr>
          <w:rFonts w:ascii="Gill Sans MT" w:hAnsi="Gill Sans MT"/>
          <w:b/>
        </w:rPr>
      </w:pPr>
    </w:p>
    <w:p w:rsidR="00D33089" w:rsidRDefault="002614A4" w:rsidP="002614A4">
      <w:pPr>
        <w:ind w:firstLine="708"/>
        <w:jc w:val="both"/>
        <w:rPr>
          <w:rFonts w:ascii="Gill Sans MT" w:hAnsi="Gill Sans MT"/>
        </w:rPr>
      </w:pPr>
      <w:r>
        <w:rPr>
          <w:rFonts w:ascii="Gill Sans MT" w:eastAsia="Calibri" w:hAnsi="Gill Sans MT" w:cs="Times New Roman"/>
        </w:rPr>
        <w:t xml:space="preserve"> Con la intención de garantizar una</w:t>
      </w:r>
      <w:r w:rsidRPr="00EA4E2F">
        <w:rPr>
          <w:rFonts w:ascii="Gill Sans MT" w:eastAsia="Calibri" w:hAnsi="Gill Sans MT" w:cs="Times New Roman"/>
        </w:rPr>
        <w:t xml:space="preserve"> oferta educativa pertinente y</w:t>
      </w:r>
      <w:r>
        <w:rPr>
          <w:rFonts w:ascii="Gill Sans MT" w:eastAsia="Calibri" w:hAnsi="Gill Sans MT" w:cs="Times New Roman"/>
        </w:rPr>
        <w:t xml:space="preserve"> </w:t>
      </w:r>
      <w:r w:rsidRPr="00EA4E2F">
        <w:rPr>
          <w:rFonts w:ascii="Gill Sans MT" w:eastAsia="Calibri" w:hAnsi="Gill Sans MT" w:cs="Times New Roman"/>
        </w:rPr>
        <w:t>acorde a las necesidades sociales actuales</w:t>
      </w:r>
      <w:r>
        <w:rPr>
          <w:rFonts w:ascii="Gill Sans MT" w:eastAsia="Calibri" w:hAnsi="Gill Sans MT" w:cs="Times New Roman"/>
        </w:rPr>
        <w:t xml:space="preserve">, el proceso de diseño curricular de la UV atiende a una serie de condiciones relacionales en las </w:t>
      </w:r>
      <w:r w:rsidR="001B6D4A" w:rsidRPr="00EA4E2F">
        <w:rPr>
          <w:rFonts w:ascii="Gill Sans MT" w:hAnsi="Gill Sans MT"/>
        </w:rPr>
        <w:t>propuesta</w:t>
      </w:r>
      <w:r>
        <w:rPr>
          <w:rFonts w:ascii="Gill Sans MT" w:hAnsi="Gill Sans MT"/>
        </w:rPr>
        <w:t>s</w:t>
      </w:r>
      <w:r w:rsidR="001B6D4A" w:rsidRPr="00EA4E2F">
        <w:rPr>
          <w:rFonts w:ascii="Gill Sans MT" w:hAnsi="Gill Sans MT"/>
        </w:rPr>
        <w:t xml:space="preserve"> de nueva creación</w:t>
      </w:r>
      <w:r>
        <w:rPr>
          <w:rFonts w:ascii="Gill Sans MT" w:hAnsi="Gill Sans MT"/>
        </w:rPr>
        <w:t>, a saber, la reconfiguración de los campos disciplinares y la diversificación de las modalidades educativas y de apendizaje, además de la atención de problematicas sociales desde desempeños innovadores.</w:t>
      </w:r>
    </w:p>
    <w:p w:rsidR="002614A4" w:rsidRDefault="002614A4" w:rsidP="002614A4">
      <w:pPr>
        <w:ind w:firstLine="708"/>
        <w:jc w:val="both"/>
        <w:rPr>
          <w:rFonts w:ascii="Gill Sans MT" w:hAnsi="Gill Sans MT"/>
        </w:rPr>
      </w:pPr>
    </w:p>
    <w:p w:rsidR="00221F4D" w:rsidRDefault="00335CBE" w:rsidP="002614A4">
      <w:pPr>
        <w:ind w:firstLine="708"/>
        <w:jc w:val="both"/>
        <w:rPr>
          <w:rFonts w:ascii="Gill Sans MT" w:hAnsi="Gill Sans MT"/>
        </w:rPr>
      </w:pPr>
      <w:r>
        <w:rPr>
          <w:rFonts w:ascii="Gill Sans MT" w:hAnsi="Gill Sans MT"/>
        </w:rPr>
        <w:t>A partir del desarrollo metodológico que propone la Universidad Veracruzana para el diseño de planes y programas de estudio, se establecen una serie de elementos que garantizan la pe</w:t>
      </w:r>
      <w:r w:rsidR="00F56D97">
        <w:rPr>
          <w:rFonts w:ascii="Gill Sans MT" w:hAnsi="Gill Sans MT"/>
        </w:rPr>
        <w:t>rtinencia y viabilidad académica</w:t>
      </w:r>
      <w:r w:rsidR="00B209BC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administrativ</w:t>
      </w:r>
      <w:r w:rsidR="00221F4D">
        <w:rPr>
          <w:rFonts w:ascii="Gill Sans MT" w:hAnsi="Gill Sans MT"/>
        </w:rPr>
        <w:t>a</w:t>
      </w:r>
      <w:r w:rsidR="00B209BC">
        <w:rPr>
          <w:rFonts w:ascii="Gill Sans MT" w:hAnsi="Gill Sans MT"/>
        </w:rPr>
        <w:t>, financiera y operativa</w:t>
      </w:r>
      <w:r w:rsidR="00221F4D">
        <w:rPr>
          <w:rFonts w:ascii="Gill Sans MT" w:hAnsi="Gill Sans MT"/>
        </w:rPr>
        <w:t xml:space="preserve"> de la nueva oferta educativa, atendiendo </w:t>
      </w:r>
      <w:r w:rsidR="00F56D97">
        <w:rPr>
          <w:rFonts w:ascii="Gill Sans MT" w:hAnsi="Gill Sans MT"/>
        </w:rPr>
        <w:t xml:space="preserve">a </w:t>
      </w:r>
      <w:r w:rsidR="00221F4D">
        <w:rPr>
          <w:rFonts w:ascii="Gill Sans MT" w:hAnsi="Gill Sans MT"/>
        </w:rPr>
        <w:t>los l</w:t>
      </w:r>
      <w:r w:rsidR="00F530A6">
        <w:rPr>
          <w:rFonts w:ascii="Gill Sans MT" w:hAnsi="Gill Sans MT"/>
        </w:rPr>
        <w:t>ineamientos del M</w:t>
      </w:r>
      <w:r w:rsidR="00221F4D">
        <w:rPr>
          <w:rFonts w:ascii="Gill Sans MT" w:hAnsi="Gill Sans MT"/>
        </w:rPr>
        <w:t xml:space="preserve">odelo educativo institucional, así como los avances científicos, tecnológicos y disciplinares de cada </w:t>
      </w:r>
      <w:r w:rsidR="00384E84">
        <w:rPr>
          <w:rFonts w:ascii="Gill Sans MT" w:hAnsi="Gill Sans MT"/>
        </w:rPr>
        <w:t>profesión y sus requerimientos del campo laboral en los ámbitos dominantes y emergentes.</w:t>
      </w:r>
    </w:p>
    <w:p w:rsidR="00384E84" w:rsidRDefault="00384E84" w:rsidP="00221F4D">
      <w:pPr>
        <w:jc w:val="both"/>
        <w:rPr>
          <w:rFonts w:ascii="Gill Sans MT" w:hAnsi="Gill Sans MT"/>
        </w:rPr>
      </w:pPr>
    </w:p>
    <w:p w:rsidR="00384E84" w:rsidRDefault="005D456E" w:rsidP="002614A4">
      <w:pPr>
        <w:ind w:firstLine="708"/>
        <w:jc w:val="both"/>
        <w:rPr>
          <w:rFonts w:ascii="Gill Sans MT" w:hAnsi="Gill Sans MT"/>
        </w:rPr>
      </w:pPr>
      <w:r>
        <w:rPr>
          <w:rFonts w:ascii="Gill Sans MT" w:hAnsi="Gill Sans MT"/>
        </w:rPr>
        <w:t>La construcción de l</w:t>
      </w:r>
      <w:r w:rsidR="00384E84">
        <w:rPr>
          <w:rFonts w:ascii="Gill Sans MT" w:hAnsi="Gill Sans MT"/>
        </w:rPr>
        <w:t>os planes y programas de estudio es una responsabilidad colegiada</w:t>
      </w:r>
      <w:r w:rsidR="00F530A6">
        <w:rPr>
          <w:rFonts w:ascii="Gill Sans MT" w:hAnsi="Gill Sans MT"/>
        </w:rPr>
        <w:t xml:space="preserve"> de </w:t>
      </w:r>
      <w:r w:rsidR="00F530A6" w:rsidRPr="00097082">
        <w:rPr>
          <w:rFonts w:ascii="Gill Sans MT" w:hAnsi="Gill Sans MT"/>
          <w:color w:val="000000" w:themeColor="text1"/>
        </w:rPr>
        <w:t>las academias</w:t>
      </w:r>
      <w:r w:rsidR="006C5DC5" w:rsidRPr="00097082">
        <w:rPr>
          <w:rFonts w:ascii="Gill Sans MT" w:hAnsi="Gill Sans MT"/>
          <w:color w:val="000000" w:themeColor="text1"/>
        </w:rPr>
        <w:t xml:space="preserve"> al interior de cada entidad y de las comisiones para el desarrollo curricular</w:t>
      </w:r>
      <w:r w:rsidR="00F530A6" w:rsidRPr="00097082">
        <w:rPr>
          <w:rFonts w:ascii="Gill Sans MT" w:hAnsi="Gill Sans MT"/>
          <w:color w:val="000000" w:themeColor="text1"/>
        </w:rPr>
        <w:t>,</w:t>
      </w:r>
      <w:r w:rsidRPr="00097082">
        <w:rPr>
          <w:rFonts w:ascii="Gill Sans MT" w:hAnsi="Gill Sans MT"/>
          <w:color w:val="000000" w:themeColor="text1"/>
        </w:rPr>
        <w:t xml:space="preserve"> </w:t>
      </w:r>
      <w:r>
        <w:rPr>
          <w:rFonts w:ascii="Gill Sans MT" w:hAnsi="Gill Sans MT"/>
        </w:rPr>
        <w:t>apuntando a la colaboración con</w:t>
      </w:r>
      <w:r w:rsidR="00384E84">
        <w:rPr>
          <w:rFonts w:ascii="Gill Sans MT" w:hAnsi="Gill Sans MT"/>
        </w:rPr>
        <w:t xml:space="preserve"> otras disciplinas para la creación e implementación de dicho trabajo;</w:t>
      </w:r>
      <w:r>
        <w:rPr>
          <w:rFonts w:ascii="Gill Sans MT" w:hAnsi="Gill Sans MT"/>
        </w:rPr>
        <w:t xml:space="preserve"> por ello</w:t>
      </w:r>
      <w:r w:rsidR="00384E84">
        <w:rPr>
          <w:rFonts w:ascii="Gill Sans MT" w:hAnsi="Gill Sans MT"/>
        </w:rPr>
        <w:t xml:space="preserve"> es importante realizar </w:t>
      </w:r>
      <w:r>
        <w:rPr>
          <w:rFonts w:ascii="Gill Sans MT" w:hAnsi="Gill Sans MT"/>
        </w:rPr>
        <w:t>un</w:t>
      </w:r>
      <w:r w:rsidR="000F6E51">
        <w:rPr>
          <w:rFonts w:ascii="Gill Sans MT" w:hAnsi="Gill Sans MT"/>
        </w:rPr>
        <w:t xml:space="preserve">a labor </w:t>
      </w:r>
      <w:r>
        <w:rPr>
          <w:rFonts w:ascii="Gill Sans MT" w:hAnsi="Gill Sans MT"/>
        </w:rPr>
        <w:t>activ</w:t>
      </w:r>
      <w:r w:rsidR="000F6E51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 y participativ</w:t>
      </w:r>
      <w:r w:rsidR="000F6E51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 multi, inter y transdiciplinari</w:t>
      </w:r>
      <w:r w:rsidR="006C5DC5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, con miras </w:t>
      </w:r>
      <w:r w:rsidR="00F56D97">
        <w:rPr>
          <w:rFonts w:ascii="Gill Sans MT" w:hAnsi="Gill Sans MT"/>
        </w:rPr>
        <w:t xml:space="preserve">a la </w:t>
      </w:r>
      <w:r>
        <w:rPr>
          <w:rFonts w:ascii="Gill Sans MT" w:hAnsi="Gill Sans MT"/>
        </w:rPr>
        <w:t xml:space="preserve">innovación </w:t>
      </w:r>
      <w:r w:rsidR="00F530A6">
        <w:rPr>
          <w:rFonts w:ascii="Gill Sans MT" w:hAnsi="Gill Sans MT"/>
        </w:rPr>
        <w:t xml:space="preserve">disciplinar, </w:t>
      </w:r>
      <w:r>
        <w:rPr>
          <w:rFonts w:ascii="Gill Sans MT" w:hAnsi="Gill Sans MT"/>
        </w:rPr>
        <w:t>educativa</w:t>
      </w:r>
      <w:r w:rsidR="00F530A6">
        <w:rPr>
          <w:rFonts w:ascii="Gill Sans MT" w:hAnsi="Gill Sans MT"/>
        </w:rPr>
        <w:t xml:space="preserve"> y tecnológica</w:t>
      </w:r>
      <w:r>
        <w:rPr>
          <w:rFonts w:ascii="Gill Sans MT" w:hAnsi="Gill Sans MT"/>
        </w:rPr>
        <w:t>, bajo criterios de responsabilidad social.</w:t>
      </w:r>
    </w:p>
    <w:p w:rsidR="00384E84" w:rsidRDefault="00384E84" w:rsidP="00221F4D">
      <w:pPr>
        <w:jc w:val="both"/>
        <w:rPr>
          <w:rFonts w:ascii="Gill Sans MT" w:hAnsi="Gill Sans MT"/>
        </w:rPr>
      </w:pPr>
    </w:p>
    <w:p w:rsidR="002614A4" w:rsidRDefault="00F56D97" w:rsidP="002614A4">
      <w:pPr>
        <w:ind w:firstLine="708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En este orden de ideas, el </w:t>
      </w:r>
      <w:r w:rsidR="00B806BE">
        <w:rPr>
          <w:rFonts w:ascii="Gill Sans MT" w:hAnsi="Gill Sans MT"/>
        </w:rPr>
        <w:t>perfil de egreso deberá derivar</w:t>
      </w:r>
      <w:r>
        <w:rPr>
          <w:rFonts w:ascii="Gill Sans MT" w:hAnsi="Gill Sans MT"/>
        </w:rPr>
        <w:t xml:space="preserve"> de la</w:t>
      </w:r>
      <w:r w:rsidR="005D456E" w:rsidRPr="005D456E">
        <w:rPr>
          <w:rFonts w:ascii="Gill Sans MT" w:hAnsi="Gill Sans MT"/>
        </w:rPr>
        <w:t xml:space="preserve"> formación integral de los estudiantes y una mirada a la competitividad </w:t>
      </w:r>
      <w:r w:rsidR="005D456E">
        <w:rPr>
          <w:rFonts w:ascii="Gill Sans MT" w:hAnsi="Gill Sans MT"/>
        </w:rPr>
        <w:t xml:space="preserve">regional, nacional e </w:t>
      </w:r>
      <w:r w:rsidR="005D456E" w:rsidRPr="005D456E">
        <w:rPr>
          <w:rFonts w:ascii="Gill Sans MT" w:hAnsi="Gill Sans MT"/>
        </w:rPr>
        <w:t>inte</w:t>
      </w:r>
      <w:r w:rsidR="005D456E">
        <w:rPr>
          <w:rFonts w:ascii="Gill Sans MT" w:hAnsi="Gill Sans MT"/>
        </w:rPr>
        <w:t>rnacional.</w:t>
      </w:r>
      <w:r w:rsidR="007F7568">
        <w:rPr>
          <w:rFonts w:ascii="Gill Sans MT" w:hAnsi="Gill Sans MT"/>
        </w:rPr>
        <w:t xml:space="preserve"> </w:t>
      </w:r>
      <w:r w:rsidR="00BB5505" w:rsidRPr="00BB5505">
        <w:rPr>
          <w:rFonts w:ascii="Gill Sans MT" w:hAnsi="Gill Sans MT"/>
        </w:rPr>
        <w:t>Esto</w:t>
      </w:r>
      <w:r w:rsidR="00BB5505">
        <w:rPr>
          <w:rFonts w:ascii="Gill Sans MT" w:hAnsi="Gill Sans MT"/>
        </w:rPr>
        <w:t xml:space="preserve"> se hace tangible a través del catál</w:t>
      </w:r>
      <w:r w:rsidR="00F530A6">
        <w:rPr>
          <w:rFonts w:ascii="Gill Sans MT" w:hAnsi="Gill Sans MT"/>
        </w:rPr>
        <w:t xml:space="preserve">ogo de experiencias educativas, el cual marca la pauta para identificar </w:t>
      </w:r>
      <w:r w:rsidR="00BB5505" w:rsidRPr="00BB5505">
        <w:rPr>
          <w:rFonts w:ascii="Gill Sans MT" w:hAnsi="Gill Sans MT"/>
        </w:rPr>
        <w:t xml:space="preserve">las características </w:t>
      </w:r>
      <w:r w:rsidR="00F530A6">
        <w:rPr>
          <w:rFonts w:ascii="Gill Sans MT" w:hAnsi="Gill Sans MT"/>
        </w:rPr>
        <w:t>operativas del plan de estudios</w:t>
      </w:r>
      <w:r w:rsidR="00BB5505" w:rsidRPr="00BB5505">
        <w:rPr>
          <w:rFonts w:ascii="Gill Sans MT" w:hAnsi="Gill Sans MT"/>
        </w:rPr>
        <w:t>, y a partir de él, vislumbrar tres posibles trayectorias de formación que podrá cursar el estudiante, según su necesidad de formación.</w:t>
      </w:r>
    </w:p>
    <w:p w:rsidR="002614A4" w:rsidRDefault="002614A4" w:rsidP="002614A4">
      <w:pPr>
        <w:ind w:firstLine="708"/>
        <w:jc w:val="both"/>
        <w:rPr>
          <w:rFonts w:ascii="Gill Sans MT" w:hAnsi="Gill Sans MT"/>
        </w:rPr>
      </w:pPr>
    </w:p>
    <w:p w:rsidR="006C5DC5" w:rsidRDefault="002614A4" w:rsidP="002614A4">
      <w:pPr>
        <w:ind w:firstLine="708"/>
        <w:jc w:val="both"/>
        <w:rPr>
          <w:rFonts w:ascii="Gill Sans MT" w:hAnsi="Gill Sans MT"/>
        </w:rPr>
        <w:sectPr w:rsidR="006C5DC5">
          <w:footerReference w:type="even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Gill Sans MT" w:hAnsi="Gill Sans MT"/>
        </w:rPr>
        <w:t>Con este enfoque, a</w:t>
      </w:r>
      <w:r w:rsidR="00EE3BA1" w:rsidRPr="0050641F">
        <w:rPr>
          <w:rFonts w:ascii="Gill Sans MT" w:hAnsi="Gill Sans MT"/>
        </w:rPr>
        <w:t xml:space="preserve"> continuación se presenta el </w:t>
      </w:r>
      <w:r w:rsidR="0050641F">
        <w:rPr>
          <w:rFonts w:ascii="Gill Sans MT" w:hAnsi="Gill Sans MT"/>
        </w:rPr>
        <w:t>P</w:t>
      </w:r>
      <w:r w:rsidR="00EE3BA1" w:rsidRPr="0050641F">
        <w:rPr>
          <w:rFonts w:ascii="Gill Sans MT" w:hAnsi="Gill Sans MT"/>
        </w:rPr>
        <w:t>lan de seguimiento</w:t>
      </w:r>
      <w:r>
        <w:rPr>
          <w:rFonts w:ascii="Gill Sans MT" w:hAnsi="Gill Sans MT"/>
        </w:rPr>
        <w:t xml:space="preserve"> del PE que expresa las acciones de mejora requeridas para asegurar su consolidación</w:t>
      </w:r>
      <w:r w:rsidR="00A16A52">
        <w:rPr>
          <w:rFonts w:ascii="Gill Sans MT" w:hAnsi="Gill Sans MT"/>
        </w:rPr>
        <w:t>.</w:t>
      </w:r>
    </w:p>
    <w:p w:rsidR="006C5DC5" w:rsidRPr="008D2B59" w:rsidRDefault="006677B0" w:rsidP="00BC27FB">
      <w:pPr>
        <w:jc w:val="both"/>
        <w:rPr>
          <w:color w:val="000000" w:themeColor="text1"/>
          <w:lang w:val="es-ES"/>
        </w:rPr>
      </w:pPr>
      <w:r w:rsidRPr="008D2B59">
        <w:rPr>
          <w:color w:val="000000" w:themeColor="text1"/>
          <w:lang w:val="es-ES"/>
        </w:rPr>
        <w:lastRenderedPageBreak/>
        <w:t>Datos de identificación del Plan de Estudios:</w:t>
      </w:r>
    </w:p>
    <w:p w:rsidR="00347B13" w:rsidRPr="008D2B59" w:rsidRDefault="00347B13" w:rsidP="00347B13">
      <w:pPr>
        <w:pStyle w:val="Prrafodelista"/>
        <w:numPr>
          <w:ilvl w:val="0"/>
          <w:numId w:val="16"/>
        </w:numPr>
        <w:rPr>
          <w:color w:val="000000" w:themeColor="text1"/>
        </w:rPr>
      </w:pPr>
      <w:r w:rsidRPr="008D2B59">
        <w:rPr>
          <w:color w:val="000000" w:themeColor="text1"/>
        </w:rPr>
        <w:t>Nombre completo del Plan de Estudios:</w:t>
      </w:r>
    </w:p>
    <w:p w:rsidR="00347B13" w:rsidRPr="008D2B59" w:rsidRDefault="00347B13" w:rsidP="00347B13">
      <w:pPr>
        <w:pStyle w:val="Prrafodelista"/>
        <w:numPr>
          <w:ilvl w:val="0"/>
          <w:numId w:val="16"/>
        </w:numPr>
        <w:rPr>
          <w:color w:val="000000" w:themeColor="text1"/>
        </w:rPr>
      </w:pPr>
      <w:r w:rsidRPr="008D2B59">
        <w:rPr>
          <w:color w:val="000000" w:themeColor="text1"/>
        </w:rPr>
        <w:t>Área Académica</w:t>
      </w:r>
    </w:p>
    <w:p w:rsidR="00347B13" w:rsidRPr="008D2B59" w:rsidRDefault="00347B13" w:rsidP="00347B13">
      <w:pPr>
        <w:pStyle w:val="Prrafodelista"/>
        <w:numPr>
          <w:ilvl w:val="0"/>
          <w:numId w:val="16"/>
        </w:numPr>
        <w:rPr>
          <w:color w:val="000000" w:themeColor="text1"/>
        </w:rPr>
      </w:pPr>
      <w:r w:rsidRPr="008D2B59">
        <w:rPr>
          <w:color w:val="000000" w:themeColor="text1"/>
        </w:rPr>
        <w:t>Entidad de adscripción</w:t>
      </w:r>
    </w:p>
    <w:p w:rsidR="00347B13" w:rsidRPr="008D2B59" w:rsidRDefault="00347B13" w:rsidP="00A83426">
      <w:pPr>
        <w:pStyle w:val="Prrafodelista"/>
        <w:numPr>
          <w:ilvl w:val="0"/>
          <w:numId w:val="16"/>
        </w:numPr>
        <w:rPr>
          <w:color w:val="000000" w:themeColor="text1"/>
        </w:rPr>
      </w:pPr>
      <w:r w:rsidRPr="008D2B59">
        <w:rPr>
          <w:color w:val="000000" w:themeColor="text1"/>
        </w:rPr>
        <w:t>Dirección</w:t>
      </w:r>
      <w:r w:rsidR="00A83426" w:rsidRPr="008D2B59">
        <w:rPr>
          <w:color w:val="000000" w:themeColor="text1"/>
        </w:rPr>
        <w:t xml:space="preserve"> de </w:t>
      </w:r>
      <w:r w:rsidRPr="008D2B59">
        <w:rPr>
          <w:color w:val="000000" w:themeColor="text1"/>
        </w:rPr>
        <w:t>la entidad</w:t>
      </w:r>
    </w:p>
    <w:p w:rsidR="00347B13" w:rsidRPr="008D2B59" w:rsidRDefault="00347B13" w:rsidP="00347B13">
      <w:pPr>
        <w:pStyle w:val="Prrafodelista"/>
        <w:numPr>
          <w:ilvl w:val="0"/>
          <w:numId w:val="16"/>
        </w:numPr>
        <w:rPr>
          <w:color w:val="000000" w:themeColor="text1"/>
        </w:rPr>
      </w:pPr>
      <w:r w:rsidRPr="008D2B59">
        <w:rPr>
          <w:color w:val="000000" w:themeColor="text1"/>
        </w:rPr>
        <w:t>Modalidad Educativa:</w:t>
      </w:r>
    </w:p>
    <w:p w:rsidR="00347B13" w:rsidRPr="008D2B59" w:rsidRDefault="00347B13" w:rsidP="00347B13">
      <w:pPr>
        <w:pStyle w:val="Prrafodelista"/>
        <w:numPr>
          <w:ilvl w:val="0"/>
          <w:numId w:val="16"/>
        </w:numPr>
        <w:rPr>
          <w:color w:val="000000" w:themeColor="text1"/>
        </w:rPr>
      </w:pPr>
      <w:r w:rsidRPr="008D2B59">
        <w:rPr>
          <w:color w:val="000000" w:themeColor="text1"/>
        </w:rPr>
        <w:t>Año de Plan de Estudios:</w:t>
      </w:r>
    </w:p>
    <w:p w:rsidR="00347B13" w:rsidRPr="008D2B59" w:rsidRDefault="00347B13" w:rsidP="00347B13">
      <w:pPr>
        <w:pStyle w:val="Prrafodelista"/>
        <w:numPr>
          <w:ilvl w:val="0"/>
          <w:numId w:val="16"/>
        </w:numPr>
        <w:rPr>
          <w:color w:val="000000" w:themeColor="text1"/>
        </w:rPr>
      </w:pPr>
      <w:r w:rsidRPr="008D2B59">
        <w:rPr>
          <w:color w:val="000000" w:themeColor="text1"/>
        </w:rPr>
        <w:t xml:space="preserve">Total de créditos para obtener el grado: </w:t>
      </w:r>
    </w:p>
    <w:p w:rsidR="00347B13" w:rsidRPr="008D2B59" w:rsidRDefault="00347B13" w:rsidP="00347B13">
      <w:pPr>
        <w:pStyle w:val="Prrafodelista"/>
        <w:numPr>
          <w:ilvl w:val="0"/>
          <w:numId w:val="16"/>
        </w:numPr>
        <w:rPr>
          <w:color w:val="000000" w:themeColor="text1"/>
        </w:rPr>
      </w:pPr>
      <w:r w:rsidRPr="008D2B59">
        <w:rPr>
          <w:color w:val="000000" w:themeColor="text1"/>
        </w:rPr>
        <w:t>Grado que se otorga</w:t>
      </w:r>
    </w:p>
    <w:p w:rsidR="00347B13" w:rsidRPr="008D2B59" w:rsidRDefault="00347B13" w:rsidP="00347B13">
      <w:pPr>
        <w:pStyle w:val="Prrafodelista"/>
        <w:numPr>
          <w:ilvl w:val="0"/>
          <w:numId w:val="16"/>
        </w:numPr>
        <w:rPr>
          <w:color w:val="000000" w:themeColor="text1"/>
        </w:rPr>
      </w:pPr>
      <w:r w:rsidRPr="008D2B59">
        <w:rPr>
          <w:color w:val="000000" w:themeColor="text1"/>
        </w:rPr>
        <w:t>Número de periodos escolares estándar:</w:t>
      </w:r>
    </w:p>
    <w:p w:rsidR="006677B0" w:rsidRDefault="006677B0" w:rsidP="00BC27FB">
      <w:pPr>
        <w:jc w:val="both"/>
        <w:rPr>
          <w:lang w:val="es-ES"/>
        </w:rPr>
      </w:pPr>
    </w:p>
    <w:tbl>
      <w:tblPr>
        <w:tblStyle w:val="Tablaconcuadrcula6concolores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04"/>
        <w:gridCol w:w="1557"/>
        <w:gridCol w:w="142"/>
        <w:gridCol w:w="3127"/>
        <w:gridCol w:w="11066"/>
      </w:tblGrid>
      <w:tr w:rsidR="006C5DC5" w:rsidRPr="00910097" w:rsidTr="006C5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0CECE" w:themeFill="background2" w:themeFillShade="E6"/>
            <w:noWrap/>
          </w:tcPr>
          <w:p w:rsidR="006C5DC5" w:rsidRPr="00813291" w:rsidRDefault="006C5DC5" w:rsidP="00D15CAB">
            <w:pPr>
              <w:jc w:val="center"/>
              <w:rPr>
                <w:rFonts w:ascii="Gill Sans MT" w:eastAsia="Times New Roman" w:hAnsi="Gill Sans MT" w:cs="Times New Roman"/>
                <w:color w:val="auto"/>
                <w:lang w:eastAsia="es-MX"/>
              </w:rPr>
            </w:pPr>
            <w:r w:rsidRPr="00813291">
              <w:rPr>
                <w:rFonts w:ascii="Gill Sans MT" w:eastAsia="Times New Roman" w:hAnsi="Gill Sans MT" w:cs="Times New Roman"/>
                <w:color w:val="auto"/>
                <w:lang w:eastAsia="es-MX"/>
              </w:rPr>
              <w:t>Plan de estudios:</w:t>
            </w:r>
            <w:r w:rsidR="00A16A52">
              <w:rPr>
                <w:rFonts w:ascii="Gill Sans MT" w:eastAsia="Times New Roman" w:hAnsi="Gill Sans MT" w:cs="Times New Roman"/>
                <w:color w:val="auto"/>
                <w:lang w:eastAsia="es-MX"/>
              </w:rPr>
              <w:t xml:space="preserve">    </w:t>
            </w:r>
            <w:r>
              <w:rPr>
                <w:rFonts w:ascii="Gill Sans MT" w:eastAsia="Times New Roman" w:hAnsi="Gill Sans MT" w:cs="Times New Roman"/>
                <w:color w:val="auto"/>
                <w:lang w:eastAsia="es-MX"/>
              </w:rPr>
              <w:t>.</w:t>
            </w:r>
          </w:p>
          <w:p w:rsidR="006C5DC5" w:rsidRPr="00EE3BA1" w:rsidRDefault="006C5DC5" w:rsidP="00D15CAB">
            <w:pPr>
              <w:jc w:val="center"/>
              <w:rPr>
                <w:rFonts w:ascii="Gill Sans MT" w:eastAsia="Times New Roman" w:hAnsi="Gill Sans MT" w:cs="Times New Roman"/>
                <w:color w:val="auto"/>
                <w:lang w:eastAsia="es-MX"/>
              </w:rPr>
            </w:pPr>
          </w:p>
        </w:tc>
      </w:tr>
      <w:tr w:rsidR="006C5DC5" w:rsidRPr="00C70AA8" w:rsidTr="007D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</w:tcBorders>
            <w:shd w:val="clear" w:color="auto" w:fill="767171" w:themeFill="background2" w:themeFillShade="80"/>
            <w:noWrap/>
          </w:tcPr>
          <w:p w:rsidR="006C5DC5" w:rsidRPr="00C70AA8" w:rsidRDefault="006C5DC5" w:rsidP="00D15CAB">
            <w:pPr>
              <w:jc w:val="center"/>
              <w:rPr>
                <w:rFonts w:ascii="Gill Sans MT" w:eastAsia="Times New Roman" w:hAnsi="Gill Sans MT" w:cs="Times New Roman"/>
                <w:color w:val="FFFFFF" w:themeColor="background1"/>
                <w:sz w:val="22"/>
                <w:szCs w:val="22"/>
                <w:lang w:eastAsia="es-MX"/>
              </w:rPr>
            </w:pPr>
            <w:r w:rsidRPr="00C70AA8">
              <w:rPr>
                <w:rFonts w:ascii="Gill Sans MT" w:eastAsia="Times New Roman" w:hAnsi="Gill Sans MT" w:cs="Times New Roman"/>
                <w:color w:val="FFFFFF" w:themeColor="background1"/>
                <w:sz w:val="22"/>
                <w:szCs w:val="22"/>
                <w:lang w:eastAsia="es-MX"/>
              </w:rPr>
              <w:t>Dimensión</w:t>
            </w:r>
          </w:p>
        </w:tc>
        <w:tc>
          <w:tcPr>
            <w:tcW w:w="450" w:type="pct"/>
            <w:tcBorders>
              <w:top w:val="single" w:sz="12" w:space="0" w:color="404040" w:themeColor="text1" w:themeTint="BF"/>
            </w:tcBorders>
            <w:shd w:val="clear" w:color="auto" w:fill="767171" w:themeFill="background2" w:themeFillShade="80"/>
            <w:noWrap/>
          </w:tcPr>
          <w:p w:rsidR="006C5DC5" w:rsidRPr="00C70AA8" w:rsidRDefault="006C5DC5" w:rsidP="00D15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FFFFFF" w:themeColor="background1"/>
                <w:sz w:val="22"/>
                <w:szCs w:val="22"/>
                <w:lang w:eastAsia="es-MX"/>
              </w:rPr>
            </w:pPr>
            <w:r w:rsidRPr="00C70AA8">
              <w:rPr>
                <w:rFonts w:ascii="Gill Sans MT" w:eastAsia="Times New Roman" w:hAnsi="Gill Sans MT" w:cs="Times New Roman"/>
                <w:b/>
                <w:bCs/>
                <w:color w:val="FFFFFF" w:themeColor="background1"/>
                <w:sz w:val="22"/>
                <w:szCs w:val="22"/>
                <w:lang w:eastAsia="es-MX"/>
              </w:rPr>
              <w:t>Categorías</w:t>
            </w:r>
          </w:p>
        </w:tc>
        <w:tc>
          <w:tcPr>
            <w:tcW w:w="945" w:type="pct"/>
            <w:gridSpan w:val="2"/>
            <w:tcBorders>
              <w:top w:val="single" w:sz="12" w:space="0" w:color="404040" w:themeColor="text1" w:themeTint="BF"/>
            </w:tcBorders>
            <w:shd w:val="clear" w:color="auto" w:fill="767171" w:themeFill="background2" w:themeFillShade="80"/>
            <w:noWrap/>
          </w:tcPr>
          <w:p w:rsidR="006C5DC5" w:rsidRPr="00C70AA8" w:rsidRDefault="006C5DC5" w:rsidP="00D15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FFFFFF" w:themeColor="background1"/>
                <w:sz w:val="22"/>
                <w:szCs w:val="22"/>
                <w:lang w:eastAsia="es-MX"/>
              </w:rPr>
            </w:pPr>
            <w:r w:rsidRPr="00C70AA8">
              <w:rPr>
                <w:rFonts w:ascii="Gill Sans MT" w:eastAsia="Times New Roman" w:hAnsi="Gill Sans MT" w:cs="Times New Roman"/>
                <w:b/>
                <w:bCs/>
                <w:color w:val="FFFFFF" w:themeColor="background1"/>
                <w:sz w:val="22"/>
                <w:szCs w:val="22"/>
                <w:lang w:eastAsia="es-MX"/>
              </w:rPr>
              <w:t>Indicadores</w:t>
            </w:r>
          </w:p>
        </w:tc>
        <w:tc>
          <w:tcPr>
            <w:tcW w:w="3199" w:type="pct"/>
            <w:tcBorders>
              <w:top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767171" w:themeFill="background2" w:themeFillShade="80"/>
            <w:noWrap/>
          </w:tcPr>
          <w:p w:rsidR="006C5DC5" w:rsidRPr="00C70AA8" w:rsidRDefault="006C5DC5" w:rsidP="00D15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FFFFFF" w:themeColor="background1"/>
                <w:sz w:val="22"/>
                <w:szCs w:val="22"/>
                <w:lang w:eastAsia="es-MX"/>
              </w:rPr>
            </w:pPr>
            <w:r w:rsidRPr="00C70AA8">
              <w:rPr>
                <w:rFonts w:ascii="Gill Sans MT" w:eastAsia="Times New Roman" w:hAnsi="Gill Sans MT" w:cs="Times New Roman"/>
                <w:b/>
                <w:bCs/>
                <w:color w:val="FFFFFF" w:themeColor="background1"/>
                <w:sz w:val="22"/>
                <w:szCs w:val="22"/>
                <w:lang w:eastAsia="es-MX"/>
              </w:rPr>
              <w:t>Acciones de mejora</w:t>
            </w:r>
            <w:r w:rsidR="007E44B1">
              <w:rPr>
                <w:rFonts w:ascii="Gill Sans MT" w:eastAsia="Times New Roman" w:hAnsi="Gill Sans MT" w:cs="Times New Roman"/>
                <w:b/>
                <w:bCs/>
                <w:color w:val="FFFFFF" w:themeColor="background1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347B13" w:rsidRPr="00910097" w:rsidTr="00347B13">
        <w:trPr>
          <w:trHeight w:val="3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vMerge w:val="restart"/>
            <w:tcBorders>
              <w:left w:val="single" w:sz="12" w:space="0" w:color="404040" w:themeColor="text1" w:themeTint="BF"/>
              <w:bottom w:val="single" w:sz="4" w:space="0" w:color="666666" w:themeColor="text1" w:themeTint="99"/>
            </w:tcBorders>
            <w:shd w:val="clear" w:color="auto" w:fill="FFFFFF" w:themeFill="background1"/>
            <w:textDirection w:val="btLr"/>
            <w:vAlign w:val="center"/>
            <w:hideMark/>
          </w:tcPr>
          <w:p w:rsidR="00347B13" w:rsidRPr="00EE3BA1" w:rsidRDefault="00347B13" w:rsidP="006C5DC5">
            <w:pPr>
              <w:ind w:left="113" w:right="113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lang w:eastAsia="es-MX"/>
              </w:rPr>
            </w:pPr>
            <w:r w:rsidRPr="00EE3BA1">
              <w:rPr>
                <w:rFonts w:ascii="Gill Sans MT" w:eastAsia="Times New Roman" w:hAnsi="Gill Sans MT" w:cs="Times New Roman"/>
                <w:color w:val="000000"/>
                <w:sz w:val="28"/>
                <w:lang w:eastAsia="es-MX"/>
              </w:rPr>
              <w:t>Fundamentación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B13" w:rsidRDefault="00347B13" w:rsidP="006C5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EE3BA1"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s-MX"/>
              </w:rPr>
              <w:t>Campo disciplinar</w:t>
            </w:r>
          </w:p>
          <w:p w:rsidR="00347B13" w:rsidRPr="00EE3BA1" w:rsidRDefault="00347B13" w:rsidP="0034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B13" w:rsidRPr="00F23831" w:rsidRDefault="00347B13" w:rsidP="006C5DC5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auto"/>
                <w:sz w:val="22"/>
                <w:szCs w:val="22"/>
                <w:lang w:eastAsia="es-MX"/>
              </w:rPr>
            </w:pPr>
            <w:r w:rsidRPr="00F23831">
              <w:rPr>
                <w:rFonts w:ascii="Gill Sans MT" w:eastAsia="Times New Roman" w:hAnsi="Gill Sans MT" w:cs="Times New Roman"/>
                <w:color w:val="auto"/>
                <w:sz w:val="22"/>
                <w:szCs w:val="22"/>
                <w:lang w:eastAsia="es-MX"/>
              </w:rPr>
              <w:t>At</w:t>
            </w:r>
            <w:r>
              <w:rPr>
                <w:rFonts w:ascii="Gill Sans MT" w:eastAsia="Times New Roman" w:hAnsi="Gill Sans MT" w:cs="Times New Roman"/>
                <w:color w:val="auto"/>
                <w:sz w:val="22"/>
                <w:szCs w:val="22"/>
                <w:lang w:eastAsia="es-MX"/>
              </w:rPr>
              <w:t>ención a</w:t>
            </w:r>
            <w:r w:rsidRPr="00F23831">
              <w:rPr>
                <w:rFonts w:ascii="Gill Sans MT" w:eastAsia="Times New Roman" w:hAnsi="Gill Sans MT" w:cs="Times New Roman"/>
                <w:color w:val="auto"/>
                <w:sz w:val="22"/>
                <w:szCs w:val="22"/>
                <w:lang w:eastAsia="es-MX"/>
              </w:rPr>
              <w:t xml:space="preserve"> necesidades</w:t>
            </w:r>
            <w:r>
              <w:rPr>
                <w:rFonts w:ascii="Gill Sans MT" w:eastAsia="Times New Roman" w:hAnsi="Gill Sans MT" w:cs="Times New Roman"/>
                <w:color w:val="auto"/>
                <w:sz w:val="22"/>
                <w:szCs w:val="22"/>
                <w:lang w:eastAsia="es-MX"/>
              </w:rPr>
              <w:t xml:space="preserve">, </w:t>
            </w:r>
            <w:r w:rsidRPr="00097082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 xml:space="preserve">problemas o problemáticas sociales </w:t>
            </w:r>
            <w:r w:rsidRPr="00F23831">
              <w:rPr>
                <w:rFonts w:ascii="Gill Sans MT" w:eastAsia="Times New Roman" w:hAnsi="Gill Sans MT" w:cs="Times New Roman"/>
                <w:color w:val="auto"/>
                <w:sz w:val="22"/>
                <w:szCs w:val="22"/>
                <w:lang w:eastAsia="es-MX"/>
              </w:rPr>
              <w:t>actuales</w:t>
            </w:r>
            <w:r>
              <w:rPr>
                <w:rFonts w:ascii="Gill Sans MT" w:eastAsia="Times New Roman" w:hAnsi="Gill Sans MT" w:cs="Times New Roman"/>
                <w:color w:val="auto"/>
                <w:sz w:val="22"/>
                <w:szCs w:val="22"/>
                <w:lang w:eastAsia="es-MX"/>
              </w:rPr>
              <w:t xml:space="preserve"> a</w:t>
            </w:r>
            <w:r w:rsidRPr="00F23831">
              <w:rPr>
                <w:rFonts w:ascii="Gill Sans MT" w:eastAsia="Times New Roman" w:hAnsi="Gill Sans MT" w:cs="Times New Roman"/>
                <w:color w:val="auto"/>
                <w:sz w:val="22"/>
                <w:szCs w:val="22"/>
                <w:lang w:eastAsia="es-MX"/>
              </w:rPr>
              <w:t xml:space="preserve"> través de la disciplina.</w:t>
            </w:r>
          </w:p>
          <w:p w:rsidR="00347B13" w:rsidRPr="00910097" w:rsidRDefault="00347B13" w:rsidP="006C5DC5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</w:pPr>
            <w:r w:rsidRPr="00910097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  <w:t xml:space="preserve">Reconfiguración </w:t>
            </w:r>
            <w: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  <w:t xml:space="preserve">innovadora </w:t>
            </w:r>
            <w:r w:rsidRPr="00910097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  <w:t>de campos disciplinares.</w:t>
            </w:r>
          </w:p>
          <w:p w:rsidR="00347B13" w:rsidRPr="00347B13" w:rsidRDefault="00347B13" w:rsidP="00347B13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  <w:t xml:space="preserve">Identificación y recuperación </w:t>
            </w:r>
            <w:r w:rsidRPr="00097082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de</w:t>
            </w:r>
            <w: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  <w:t xml:space="preserve"> i</w:t>
            </w:r>
            <w:r w:rsidRPr="00910097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  <w:t>nnovaciones curriculares, metodológicas y tecnológicas.</w:t>
            </w:r>
          </w:p>
        </w:tc>
        <w:tc>
          <w:tcPr>
            <w:tcW w:w="3199" w:type="pct"/>
            <w:tcBorders>
              <w:bottom w:val="single" w:sz="4" w:space="0" w:color="666666" w:themeColor="text1" w:themeTint="99"/>
              <w:right w:val="single" w:sz="12" w:space="0" w:color="404040" w:themeColor="text1" w:themeTint="BF"/>
            </w:tcBorders>
            <w:shd w:val="clear" w:color="auto" w:fill="FFFFFF" w:themeFill="background1"/>
            <w:vAlign w:val="center"/>
            <w:hideMark/>
          </w:tcPr>
          <w:p w:rsidR="00347B13" w:rsidRPr="00097082" w:rsidRDefault="00347B13" w:rsidP="00C70AA8">
            <w:pPr>
              <w:pStyle w:val="Textocomentari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Cs/>
                <w:sz w:val="22"/>
                <w:szCs w:val="22"/>
                <w:lang w:val="es-MX" w:eastAsia="es-MX"/>
              </w:rPr>
            </w:pPr>
          </w:p>
        </w:tc>
      </w:tr>
      <w:tr w:rsidR="00347B13" w:rsidRPr="00910097" w:rsidTr="00347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vMerge/>
            <w:tcBorders>
              <w:left w:val="single" w:sz="12" w:space="0" w:color="404040" w:themeColor="text1" w:themeTint="BF"/>
            </w:tcBorders>
            <w:shd w:val="clear" w:color="auto" w:fill="FFFFFF" w:themeFill="background1"/>
          </w:tcPr>
          <w:p w:rsidR="00347B13" w:rsidRPr="00EE3BA1" w:rsidRDefault="00347B13" w:rsidP="00D15CAB">
            <w:pPr>
              <w:rPr>
                <w:rFonts w:ascii="Gill Sans MT" w:eastAsia="Times New Roman" w:hAnsi="Gill Sans MT" w:cs="Times New Roman"/>
                <w:color w:val="000000"/>
                <w:sz w:val="28"/>
                <w:lang w:eastAsia="es-MX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47B13" w:rsidRPr="008D2B59" w:rsidRDefault="00347B13" w:rsidP="00347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s-MX"/>
              </w:rPr>
            </w:pPr>
          </w:p>
          <w:p w:rsidR="00347B13" w:rsidRPr="008D2B59" w:rsidRDefault="00347B13" w:rsidP="00347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s-MX"/>
              </w:rPr>
            </w:pPr>
            <w:r w:rsidRPr="008D2B59">
              <w:rPr>
                <w:rFonts w:ascii="Gill Sans MT" w:eastAsia="Times New Roman" w:hAnsi="Gill Sans MT" w:cs="Times New Roman"/>
                <w:b/>
                <w:bCs/>
                <w:sz w:val="22"/>
                <w:szCs w:val="22"/>
                <w:lang w:eastAsia="es-MX"/>
              </w:rPr>
              <w:t>Modalidad educativa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47B13" w:rsidRPr="008D2B59" w:rsidRDefault="00347B13" w:rsidP="00347B13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</w:pP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Argumentación sobre la pertinencia de la modalidad educativa (virtual o mixta).</w:t>
            </w:r>
          </w:p>
          <w:p w:rsidR="00347B13" w:rsidRPr="008D2B59" w:rsidRDefault="00347B13" w:rsidP="00347B13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</w:pP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Identificación y análisis de los recursos para el desarrollo de la modalidad educativa.</w:t>
            </w:r>
          </w:p>
        </w:tc>
        <w:tc>
          <w:tcPr>
            <w:tcW w:w="3199" w:type="pct"/>
            <w:vMerge w:val="restart"/>
            <w:tcBorders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347B13" w:rsidRPr="00EE3BA1" w:rsidRDefault="00347B13" w:rsidP="00D15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0000"/>
                <w:lang w:eastAsia="es-MX"/>
              </w:rPr>
            </w:pPr>
          </w:p>
        </w:tc>
      </w:tr>
      <w:tr w:rsidR="00347B13" w:rsidRPr="00910097" w:rsidTr="007D410A">
        <w:trPr>
          <w:cantSplit/>
          <w:trHeight w:val="20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tcBorders>
              <w:left w:val="single" w:sz="12" w:space="0" w:color="404040" w:themeColor="text1" w:themeTint="BF"/>
            </w:tcBorders>
            <w:shd w:val="clear" w:color="auto" w:fill="FFFFFF" w:themeFill="background1"/>
            <w:textDirection w:val="btLr"/>
            <w:vAlign w:val="center"/>
            <w:hideMark/>
          </w:tcPr>
          <w:p w:rsidR="00347B13" w:rsidRPr="00EE3BA1" w:rsidRDefault="00347B13" w:rsidP="006C5DC5">
            <w:pPr>
              <w:ind w:left="113" w:right="113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lang w:eastAsia="es-MX"/>
              </w:rPr>
            </w:pPr>
            <w:r w:rsidRPr="00EE3BA1">
              <w:rPr>
                <w:rFonts w:ascii="Gill Sans MT" w:eastAsia="Times New Roman" w:hAnsi="Gill Sans MT" w:cs="Times New Roman"/>
                <w:color w:val="000000"/>
                <w:sz w:val="28"/>
                <w:lang w:eastAsia="es-MX"/>
              </w:rPr>
              <w:t>Perfil de egreso</w:t>
            </w:r>
          </w:p>
        </w:tc>
        <w:tc>
          <w:tcPr>
            <w:tcW w:w="450" w:type="pct"/>
            <w:shd w:val="clear" w:color="auto" w:fill="FFFFFF" w:themeFill="background1"/>
            <w:noWrap/>
            <w:vAlign w:val="center"/>
            <w:hideMark/>
          </w:tcPr>
          <w:p w:rsidR="00347B13" w:rsidRPr="00EE3BA1" w:rsidRDefault="00347B13" w:rsidP="006C5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EE3BA1"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s-MX"/>
              </w:rPr>
              <w:t xml:space="preserve">El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s-MX"/>
              </w:rPr>
              <w:t xml:space="preserve">desempeño competente </w:t>
            </w:r>
          </w:p>
        </w:tc>
        <w:tc>
          <w:tcPr>
            <w:tcW w:w="945" w:type="pct"/>
            <w:gridSpan w:val="2"/>
            <w:shd w:val="clear" w:color="auto" w:fill="FFFFFF" w:themeFill="background1"/>
            <w:vAlign w:val="center"/>
            <w:hideMark/>
          </w:tcPr>
          <w:p w:rsidR="00347B13" w:rsidRPr="00097082" w:rsidRDefault="00347B13" w:rsidP="006C5DC5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</w:pPr>
            <w:r w:rsidRPr="00097082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Ámbitos</w:t>
            </w:r>
            <w:r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 xml:space="preserve"> </w:t>
            </w:r>
            <w:r w:rsidRPr="00097082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y escalas desde donde se ofrecen soluciones a las problemáticas sociales de la profesión.</w:t>
            </w:r>
          </w:p>
          <w:p w:rsidR="00347B13" w:rsidRPr="00097082" w:rsidRDefault="00347B13" w:rsidP="006C5DC5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</w:pPr>
            <w:r w:rsidRPr="00097082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Identificación de las competencias profesionales y su descripción.</w:t>
            </w:r>
          </w:p>
          <w:p w:rsidR="00347B13" w:rsidRPr="00910097" w:rsidRDefault="00347B13" w:rsidP="006C5DC5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</w:pP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Identificación de desempeños en diferentes contextos y ámbitos profesionales acordes a la modalidad educativa.</w:t>
            </w:r>
          </w:p>
        </w:tc>
        <w:tc>
          <w:tcPr>
            <w:tcW w:w="3199" w:type="pct"/>
            <w:vMerge/>
            <w:tcBorders>
              <w:right w:val="single" w:sz="12" w:space="0" w:color="404040" w:themeColor="text1" w:themeTint="BF"/>
            </w:tcBorders>
            <w:shd w:val="clear" w:color="auto" w:fill="FFFFFF" w:themeFill="background1"/>
            <w:noWrap/>
            <w:vAlign w:val="center"/>
            <w:hideMark/>
          </w:tcPr>
          <w:p w:rsidR="00347B13" w:rsidRPr="003C0BF1" w:rsidRDefault="00347B13" w:rsidP="006C5DC5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6C5DC5" w:rsidRPr="00910097" w:rsidTr="007D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vMerge w:val="restart"/>
            <w:tcBorders>
              <w:left w:val="single" w:sz="12" w:space="0" w:color="404040" w:themeColor="text1" w:themeTint="BF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5DC5" w:rsidRPr="00EE3BA1" w:rsidRDefault="00572490" w:rsidP="00C70AA8">
            <w:pPr>
              <w:ind w:left="113" w:right="113"/>
              <w:jc w:val="both"/>
              <w:rPr>
                <w:rFonts w:ascii="Gill Sans MT" w:eastAsia="Times New Roman" w:hAnsi="Gill Sans MT" w:cs="Times New Roman"/>
                <w:color w:val="000000"/>
                <w:sz w:val="28"/>
                <w:lang w:eastAsia="es-MX"/>
              </w:rPr>
            </w:pPr>
            <w:r w:rsidRPr="00572490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s-MX"/>
              </w:rPr>
              <w:t>Estructura del plan de estudios</w:t>
            </w:r>
          </w:p>
        </w:tc>
        <w:tc>
          <w:tcPr>
            <w:tcW w:w="450" w:type="pct"/>
            <w:vMerge w:val="restart"/>
            <w:shd w:val="clear" w:color="auto" w:fill="FFFFFF" w:themeFill="background1"/>
            <w:vAlign w:val="center"/>
            <w:hideMark/>
          </w:tcPr>
          <w:p w:rsidR="006C5DC5" w:rsidRPr="00EE3BA1" w:rsidRDefault="00572490" w:rsidP="00C70A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572490"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s-MX"/>
              </w:rPr>
              <w:t>Catálogo</w:t>
            </w:r>
            <w:r w:rsidRPr="00EE3BA1"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94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6C5DC5" w:rsidRPr="008D2B59" w:rsidRDefault="006C5DC5" w:rsidP="00C70AA8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</w:pP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Identificación de las Experiencias Educativas por área de formación del MEI y</w:t>
            </w:r>
            <w:r w:rsidR="00C70AA8"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 xml:space="preserve"> sus respectivas</w:t>
            </w: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 xml:space="preserve"> </w:t>
            </w:r>
            <w:r w:rsidR="00C70AA8"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a</w:t>
            </w: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cademias.</w:t>
            </w:r>
          </w:p>
          <w:p w:rsidR="006C5DC5" w:rsidRPr="008D2B59" w:rsidRDefault="006C5DC5" w:rsidP="00C70AA8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</w:pP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Diversificación de las modalidades de aprendizaje</w:t>
            </w:r>
            <w:r w:rsidR="00C70AA8"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 xml:space="preserve"> de las EE</w:t>
            </w:r>
            <w:r w:rsidR="00C355CB"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 xml:space="preserve"> de acuerdo a la modalidad educativa</w:t>
            </w:r>
            <w:r w:rsidR="00834DDE"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.</w:t>
            </w:r>
          </w:p>
          <w:p w:rsidR="006C5DC5" w:rsidRPr="008D2B59" w:rsidRDefault="00C70AA8" w:rsidP="00C70AA8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</w:pP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Identificaci</w:t>
            </w:r>
            <w:r w:rsidR="00097082"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ó</w:t>
            </w: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 xml:space="preserve">n </w:t>
            </w:r>
            <w:r w:rsidR="006C5DC5"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 xml:space="preserve">de </w:t>
            </w: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 xml:space="preserve">las </w:t>
            </w:r>
            <w:r w:rsidR="006C5DC5"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relaciones disciplinares</w:t>
            </w: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 xml:space="preserve"> en la EE.</w:t>
            </w:r>
          </w:p>
          <w:p w:rsidR="00C355CB" w:rsidRPr="008D2B59" w:rsidRDefault="00834DDE" w:rsidP="00C70AA8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</w:pP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Especificación de los espacios formativos donde se desarrollan las EE de acuerdo con la modalidad educativa.</w:t>
            </w:r>
          </w:p>
          <w:p w:rsidR="00834DDE" w:rsidRPr="008D2B59" w:rsidRDefault="00834DDE" w:rsidP="00C70AA8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</w:pP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lastRenderedPageBreak/>
              <w:t xml:space="preserve">Determinación del </w:t>
            </w:r>
            <w:r w:rsidR="00D9006B"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100% de EE para la modalidad educativa virtual.</w:t>
            </w:r>
          </w:p>
          <w:p w:rsidR="006C5DC5" w:rsidRPr="008D2B59" w:rsidRDefault="00D9006B" w:rsidP="00097082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</w:pP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Determinación del 50% de EE para la modalidad educativa mixta. (Este porcentaje no incorpora el AFBG, ni el AFEL)</w:t>
            </w:r>
          </w:p>
        </w:tc>
        <w:tc>
          <w:tcPr>
            <w:tcW w:w="3199" w:type="pct"/>
            <w:vMerge w:val="restart"/>
            <w:tcBorders>
              <w:right w:val="single" w:sz="12" w:space="0" w:color="404040" w:themeColor="text1" w:themeTint="BF"/>
            </w:tcBorders>
            <w:shd w:val="clear" w:color="auto" w:fill="FFFFFF" w:themeFill="background1"/>
            <w:noWrap/>
            <w:hideMark/>
          </w:tcPr>
          <w:p w:rsidR="006C5DC5" w:rsidRPr="00EE3BA1" w:rsidRDefault="006C5DC5" w:rsidP="00D15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</w:pPr>
            <w:r w:rsidRPr="00EE3BA1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  <w:lastRenderedPageBreak/>
              <w:t> </w:t>
            </w:r>
          </w:p>
        </w:tc>
      </w:tr>
      <w:tr w:rsidR="006C5DC5" w:rsidRPr="00910097" w:rsidTr="007D410A">
        <w:trPr>
          <w:trHeight w:val="9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vMerge/>
            <w:tcBorders>
              <w:left w:val="single" w:sz="12" w:space="0" w:color="404040" w:themeColor="text1" w:themeTint="BF"/>
            </w:tcBorders>
            <w:shd w:val="clear" w:color="auto" w:fill="FFFFFF" w:themeFill="background1"/>
            <w:hideMark/>
          </w:tcPr>
          <w:p w:rsidR="006C5DC5" w:rsidRPr="00EE3BA1" w:rsidRDefault="006C5DC5" w:rsidP="00D15CAB">
            <w:pPr>
              <w:rPr>
                <w:rFonts w:ascii="Gill Sans MT" w:eastAsia="Times New Roman" w:hAnsi="Gill Sans MT" w:cs="Times New Roman"/>
                <w:color w:val="000000"/>
                <w:sz w:val="28"/>
                <w:lang w:eastAsia="es-MX"/>
              </w:rPr>
            </w:pPr>
          </w:p>
        </w:tc>
        <w:tc>
          <w:tcPr>
            <w:tcW w:w="450" w:type="pct"/>
            <w:vMerge/>
            <w:shd w:val="clear" w:color="auto" w:fill="FFFFFF" w:themeFill="background1"/>
            <w:hideMark/>
          </w:tcPr>
          <w:p w:rsidR="006C5DC5" w:rsidRPr="00EE3BA1" w:rsidRDefault="006C5DC5" w:rsidP="00D1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45" w:type="pct"/>
            <w:gridSpan w:val="2"/>
            <w:vMerge/>
            <w:shd w:val="clear" w:color="auto" w:fill="FFFFFF" w:themeFill="background1"/>
            <w:hideMark/>
          </w:tcPr>
          <w:p w:rsidR="006C5DC5" w:rsidRPr="00EE3BA1" w:rsidRDefault="006C5DC5" w:rsidP="00D1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199" w:type="pct"/>
            <w:vMerge/>
            <w:tcBorders>
              <w:right w:val="single" w:sz="12" w:space="0" w:color="404040" w:themeColor="text1" w:themeTint="BF"/>
            </w:tcBorders>
            <w:shd w:val="clear" w:color="auto" w:fill="FFFFFF" w:themeFill="background1"/>
            <w:hideMark/>
          </w:tcPr>
          <w:p w:rsidR="006C5DC5" w:rsidRPr="00EE3BA1" w:rsidRDefault="006C5DC5" w:rsidP="00D1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6C5DC5" w:rsidRPr="00910097" w:rsidTr="00D46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tcBorders>
              <w:left w:val="single" w:sz="12" w:space="0" w:color="404040" w:themeColor="text1" w:themeTint="BF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5DC5" w:rsidRPr="00EE3BA1" w:rsidRDefault="006C5DC5" w:rsidP="00B633BB">
            <w:pPr>
              <w:ind w:left="113" w:right="113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lang w:eastAsia="es-MX"/>
              </w:rPr>
            </w:pPr>
            <w:r w:rsidRPr="00EE3BA1">
              <w:rPr>
                <w:rFonts w:ascii="Gill Sans MT" w:eastAsia="Times New Roman" w:hAnsi="Gill Sans MT" w:cs="Times New Roman"/>
                <w:color w:val="000000"/>
                <w:sz w:val="28"/>
                <w:lang w:eastAsia="es-MX"/>
              </w:rPr>
              <w:t>Estrategias de operación</w:t>
            </w:r>
          </w:p>
        </w:tc>
        <w:tc>
          <w:tcPr>
            <w:tcW w:w="491" w:type="pct"/>
            <w:gridSpan w:val="2"/>
            <w:shd w:val="clear" w:color="auto" w:fill="FFFFFF" w:themeFill="background1"/>
            <w:vAlign w:val="center"/>
            <w:hideMark/>
          </w:tcPr>
          <w:p w:rsidR="006C5DC5" w:rsidRPr="00EE3BA1" w:rsidRDefault="006C5DC5" w:rsidP="00B63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EE3BA1"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s-MX"/>
              </w:rPr>
              <w:t>Operatividad del plan de estudios</w:t>
            </w:r>
          </w:p>
        </w:tc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6C5DC5" w:rsidRPr="008D2B59" w:rsidRDefault="006C5DC5" w:rsidP="00B633BB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</w:pP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Descripción académica de la operatividad del plan de estudios:</w:t>
            </w:r>
          </w:p>
          <w:p w:rsidR="006C5DC5" w:rsidRPr="008D2B59" w:rsidRDefault="006C5DC5" w:rsidP="00B633BB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</w:pP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Formas de organización de las EE</w:t>
            </w:r>
            <w:r w:rsidR="00D9006B"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 xml:space="preserve"> en correspondencia </w:t>
            </w:r>
            <w:r w:rsidR="00186E88"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con la modalidad educativa</w:t>
            </w: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 xml:space="preserve"> (academias, área de conocimiento</w:t>
            </w:r>
            <w:r w:rsidR="00EC5AD4"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 xml:space="preserve"> u otras</w:t>
            </w: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);</w:t>
            </w:r>
          </w:p>
          <w:p w:rsidR="006C5DC5" w:rsidRPr="008D2B59" w:rsidRDefault="006C5DC5" w:rsidP="00B633BB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</w:pP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Formas de acreditación de las EE</w:t>
            </w:r>
            <w:r w:rsidR="00D9006B"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 xml:space="preserve"> (estatuto de alumnos vigente)</w:t>
            </w:r>
          </w:p>
          <w:p w:rsidR="00EC5AD4" w:rsidRPr="008D2B59" w:rsidRDefault="00EC5AD4" w:rsidP="00B633BB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</w:pP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Disponibilidad del banco de horas para implementar la modalidad educativa (virtual o mixta).</w:t>
            </w:r>
          </w:p>
          <w:p w:rsidR="006C5DC5" w:rsidRPr="008D2B59" w:rsidRDefault="00D466D3" w:rsidP="00EC5AD4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</w:pP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>An</w:t>
            </w:r>
            <w:r w:rsidR="00572490"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 xml:space="preserve">álisis </w:t>
            </w: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 xml:space="preserve"> conjunto con</w:t>
            </w:r>
            <w:r w:rsidR="00572490"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 xml:space="preserve"> </w:t>
            </w: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 xml:space="preserve">Secretarios académicos </w:t>
            </w:r>
            <w:r w:rsid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 xml:space="preserve"> de </w:t>
            </w: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t xml:space="preserve">la proyección de cargas que permite </w:t>
            </w:r>
            <w:r w:rsidRPr="008D2B59">
              <w:rPr>
                <w:rFonts w:ascii="Gill Sans MT" w:eastAsia="Times New Roman" w:hAnsi="Gill Sans MT" w:cs="Times New Roman"/>
                <w:sz w:val="22"/>
                <w:szCs w:val="22"/>
                <w:lang w:eastAsia="es-MX"/>
              </w:rPr>
              <w:lastRenderedPageBreak/>
              <w:t>elaborar la programación académica.</w:t>
            </w:r>
          </w:p>
        </w:tc>
        <w:tc>
          <w:tcPr>
            <w:tcW w:w="3199" w:type="pct"/>
            <w:tcBorders>
              <w:right w:val="single" w:sz="12" w:space="0" w:color="404040" w:themeColor="text1" w:themeTint="BF"/>
            </w:tcBorders>
            <w:shd w:val="clear" w:color="auto" w:fill="FFFFFF" w:themeFill="background1"/>
            <w:noWrap/>
            <w:vAlign w:val="center"/>
            <w:hideMark/>
          </w:tcPr>
          <w:p w:rsidR="007E44B1" w:rsidRPr="00756FBA" w:rsidRDefault="007E44B1" w:rsidP="00A16A52">
            <w:pPr>
              <w:pStyle w:val="Textoindependiente"/>
              <w:keepNext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eastAsia="es-MX"/>
              </w:rPr>
            </w:pPr>
          </w:p>
        </w:tc>
      </w:tr>
      <w:tr w:rsidR="006C5DC5" w:rsidRPr="00910097" w:rsidTr="00347B13">
        <w:trPr>
          <w:trHeight w:val="28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tcBorders>
              <w:left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FFFFF" w:themeFill="background1"/>
            <w:textDirection w:val="btLr"/>
            <w:hideMark/>
          </w:tcPr>
          <w:p w:rsidR="006C5DC5" w:rsidRPr="00EE3BA1" w:rsidRDefault="006C5DC5" w:rsidP="00D15CAB">
            <w:pPr>
              <w:ind w:left="113" w:right="113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lang w:eastAsia="es-MX"/>
              </w:rPr>
            </w:pPr>
            <w:r w:rsidRPr="00EE3BA1">
              <w:rPr>
                <w:rFonts w:ascii="Gill Sans MT" w:eastAsia="Times New Roman" w:hAnsi="Gill Sans MT" w:cs="Times New Roman"/>
                <w:color w:val="000000"/>
                <w:sz w:val="28"/>
                <w:lang w:eastAsia="es-MX"/>
              </w:rPr>
              <w:t>Mapas curriculares</w:t>
            </w:r>
          </w:p>
        </w:tc>
        <w:tc>
          <w:tcPr>
            <w:tcW w:w="450" w:type="pct"/>
            <w:tcBorders>
              <w:bottom w:val="single" w:sz="12" w:space="0" w:color="404040" w:themeColor="text1" w:themeTint="BF"/>
            </w:tcBorders>
            <w:shd w:val="clear" w:color="auto" w:fill="FFFFFF" w:themeFill="background1"/>
            <w:hideMark/>
          </w:tcPr>
          <w:p w:rsidR="006C5DC5" w:rsidRPr="00EE3BA1" w:rsidRDefault="006C5DC5" w:rsidP="00D1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EE3BA1">
              <w:rPr>
                <w:rFonts w:ascii="Gill Sans MT" w:eastAsia="Times New Roman" w:hAnsi="Gill Sans MT" w:cs="Times New Roman"/>
                <w:b/>
                <w:bCs/>
                <w:color w:val="000000"/>
                <w:sz w:val="22"/>
                <w:szCs w:val="22"/>
                <w:lang w:eastAsia="es-MX"/>
              </w:rPr>
              <w:t xml:space="preserve">Organización de experiencias educativas en trayectorias escolares </w:t>
            </w:r>
          </w:p>
        </w:tc>
        <w:tc>
          <w:tcPr>
            <w:tcW w:w="945" w:type="pct"/>
            <w:gridSpan w:val="2"/>
            <w:tcBorders>
              <w:bottom w:val="single" w:sz="12" w:space="0" w:color="404040" w:themeColor="text1" w:themeTint="BF"/>
            </w:tcBorders>
            <w:shd w:val="clear" w:color="auto" w:fill="FFFFFF" w:themeFill="background1"/>
            <w:hideMark/>
          </w:tcPr>
          <w:p w:rsidR="006C5DC5" w:rsidRPr="00910097" w:rsidRDefault="006C5DC5" w:rsidP="00D15CAB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</w:pPr>
            <w:r w:rsidRPr="00910097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  <w:t>Trayectorias escolares:</w:t>
            </w:r>
          </w:p>
          <w:p w:rsidR="006C5DC5" w:rsidRPr="00910097" w:rsidRDefault="006C5DC5" w:rsidP="00D15CAB">
            <w:pPr>
              <w:pStyle w:val="Prrafodelista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</w:pPr>
            <w:r w:rsidRPr="00910097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  <w:t>Presenta l</w:t>
            </w:r>
            <w: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  <w:t xml:space="preserve">a </w:t>
            </w:r>
            <w:r w:rsidRPr="00910097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  <w:t>máxima, estándar y mínima</w:t>
            </w:r>
            <w: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  <w:t xml:space="preserve"> y </w:t>
            </w:r>
            <w:r w:rsidRPr="00910097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  <w:t>respaldan los créditos para obtener el grado</w:t>
            </w:r>
            <w: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  <w:t>.</w:t>
            </w:r>
          </w:p>
          <w:p w:rsidR="006C5DC5" w:rsidRDefault="006C5DC5" w:rsidP="00D15CAB">
            <w:pPr>
              <w:pStyle w:val="Prrafodelista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  <w:t>Estructuradas</w:t>
            </w:r>
            <w:r w:rsidRPr="00910097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  <w:t xml:space="preserve"> con base a las áreas de formación del MEI</w:t>
            </w:r>
            <w:r w:rsidR="00B81296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  <w:t xml:space="preserve"> y en correspondencia con el catálogo de EE.</w:t>
            </w:r>
          </w:p>
          <w:p w:rsidR="006C5DC5" w:rsidRPr="00D466D3" w:rsidRDefault="006C5DC5" w:rsidP="00D466D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199" w:type="pct"/>
            <w:tcBorders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  <w:noWrap/>
            <w:hideMark/>
          </w:tcPr>
          <w:p w:rsidR="006C5DC5" w:rsidRPr="0064726B" w:rsidRDefault="006C5DC5" w:rsidP="00A16A52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</w:pPr>
            <w:r w:rsidRPr="00EE3BA1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  <w:p w:rsidR="006C5DC5" w:rsidRPr="00EE3BA1" w:rsidRDefault="006C5DC5" w:rsidP="00D1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</w:pPr>
          </w:p>
          <w:p w:rsidR="006C5DC5" w:rsidRPr="00EE3BA1" w:rsidRDefault="006C5DC5" w:rsidP="00D1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</w:pPr>
            <w:r w:rsidRPr="00EE3BA1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  <w:p w:rsidR="006C5DC5" w:rsidRPr="00EE3BA1" w:rsidRDefault="006C5DC5" w:rsidP="00D1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</w:pPr>
            <w:r w:rsidRPr="00EE3BA1">
              <w:rPr>
                <w:rFonts w:ascii="Gill Sans MT" w:eastAsia="Times New Roman" w:hAnsi="Gill Sans MT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</w:tbl>
    <w:p w:rsidR="006C5DC5" w:rsidRPr="006C5DC5" w:rsidRDefault="006C5DC5" w:rsidP="00BC27FB">
      <w:pPr>
        <w:jc w:val="both"/>
      </w:pPr>
    </w:p>
    <w:sectPr w:rsidR="006C5DC5" w:rsidRPr="006C5DC5" w:rsidSect="006C5DC5">
      <w:pgSz w:w="2016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C97" w:rsidRDefault="009A0C97" w:rsidP="00621716">
      <w:r>
        <w:separator/>
      </w:r>
    </w:p>
  </w:endnote>
  <w:endnote w:type="continuationSeparator" w:id="0">
    <w:p w:rsidR="009A0C97" w:rsidRDefault="009A0C97" w:rsidP="0062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40045215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621716" w:rsidRDefault="00621716" w:rsidP="000C40AD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621716" w:rsidRDefault="006217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0030055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621716" w:rsidRDefault="00621716" w:rsidP="000C40AD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621716" w:rsidRDefault="006217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C97" w:rsidRDefault="009A0C97" w:rsidP="00621716">
      <w:r>
        <w:separator/>
      </w:r>
    </w:p>
  </w:footnote>
  <w:footnote w:type="continuationSeparator" w:id="0">
    <w:p w:rsidR="009A0C97" w:rsidRDefault="009A0C97" w:rsidP="0062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F27"/>
    <w:multiLevelType w:val="hybridMultilevel"/>
    <w:tmpl w:val="8FAC2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15FD"/>
    <w:multiLevelType w:val="hybridMultilevel"/>
    <w:tmpl w:val="5F1C4C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388"/>
    <w:multiLevelType w:val="hybridMultilevel"/>
    <w:tmpl w:val="866C40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028B6"/>
    <w:multiLevelType w:val="hybridMultilevel"/>
    <w:tmpl w:val="1A06D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E259D"/>
    <w:multiLevelType w:val="hybridMultilevel"/>
    <w:tmpl w:val="6D4C9B66"/>
    <w:lvl w:ilvl="0" w:tplc="080A000D">
      <w:start w:val="1"/>
      <w:numFmt w:val="bullet"/>
      <w:lvlText w:val=""/>
      <w:lvlJc w:val="left"/>
      <w:pPr>
        <w:ind w:left="144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5" w15:restartNumberingAfterBreak="0">
    <w:nsid w:val="169A385F"/>
    <w:multiLevelType w:val="hybridMultilevel"/>
    <w:tmpl w:val="9EE2C37A"/>
    <w:lvl w:ilvl="0" w:tplc="080A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1B4C6B53"/>
    <w:multiLevelType w:val="hybridMultilevel"/>
    <w:tmpl w:val="7E144CB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4E1AE1"/>
    <w:multiLevelType w:val="hybridMultilevel"/>
    <w:tmpl w:val="A5240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5713"/>
    <w:multiLevelType w:val="hybridMultilevel"/>
    <w:tmpl w:val="BF6E62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D22ACD"/>
    <w:multiLevelType w:val="hybridMultilevel"/>
    <w:tmpl w:val="91249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647E3"/>
    <w:multiLevelType w:val="hybridMultilevel"/>
    <w:tmpl w:val="192867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A3705"/>
    <w:multiLevelType w:val="hybridMultilevel"/>
    <w:tmpl w:val="91CCAEEA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FF0348"/>
    <w:multiLevelType w:val="hybridMultilevel"/>
    <w:tmpl w:val="17044D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17E06"/>
    <w:multiLevelType w:val="hybridMultilevel"/>
    <w:tmpl w:val="ECCCD0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71C60"/>
    <w:multiLevelType w:val="hybridMultilevel"/>
    <w:tmpl w:val="A88C9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21BA4"/>
    <w:multiLevelType w:val="hybridMultilevel"/>
    <w:tmpl w:val="91CCAEEA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E01B79"/>
    <w:multiLevelType w:val="hybridMultilevel"/>
    <w:tmpl w:val="76088BD0"/>
    <w:lvl w:ilvl="0" w:tplc="6BFE4DBC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52" w:hanging="360"/>
      </w:pPr>
    </w:lvl>
    <w:lvl w:ilvl="2" w:tplc="040A001B" w:tentative="1">
      <w:start w:val="1"/>
      <w:numFmt w:val="lowerRoman"/>
      <w:lvlText w:val="%3."/>
      <w:lvlJc w:val="right"/>
      <w:pPr>
        <w:ind w:left="2472" w:hanging="180"/>
      </w:pPr>
    </w:lvl>
    <w:lvl w:ilvl="3" w:tplc="040A000F" w:tentative="1">
      <w:start w:val="1"/>
      <w:numFmt w:val="decimal"/>
      <w:lvlText w:val="%4."/>
      <w:lvlJc w:val="left"/>
      <w:pPr>
        <w:ind w:left="3192" w:hanging="360"/>
      </w:pPr>
    </w:lvl>
    <w:lvl w:ilvl="4" w:tplc="040A0019" w:tentative="1">
      <w:start w:val="1"/>
      <w:numFmt w:val="lowerLetter"/>
      <w:lvlText w:val="%5."/>
      <w:lvlJc w:val="left"/>
      <w:pPr>
        <w:ind w:left="3912" w:hanging="360"/>
      </w:pPr>
    </w:lvl>
    <w:lvl w:ilvl="5" w:tplc="040A001B" w:tentative="1">
      <w:start w:val="1"/>
      <w:numFmt w:val="lowerRoman"/>
      <w:lvlText w:val="%6."/>
      <w:lvlJc w:val="right"/>
      <w:pPr>
        <w:ind w:left="4632" w:hanging="180"/>
      </w:pPr>
    </w:lvl>
    <w:lvl w:ilvl="6" w:tplc="040A000F" w:tentative="1">
      <w:start w:val="1"/>
      <w:numFmt w:val="decimal"/>
      <w:lvlText w:val="%7."/>
      <w:lvlJc w:val="left"/>
      <w:pPr>
        <w:ind w:left="5352" w:hanging="360"/>
      </w:pPr>
    </w:lvl>
    <w:lvl w:ilvl="7" w:tplc="040A0019" w:tentative="1">
      <w:start w:val="1"/>
      <w:numFmt w:val="lowerLetter"/>
      <w:lvlText w:val="%8."/>
      <w:lvlJc w:val="left"/>
      <w:pPr>
        <w:ind w:left="6072" w:hanging="360"/>
      </w:pPr>
    </w:lvl>
    <w:lvl w:ilvl="8" w:tplc="040A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15"/>
  </w:num>
  <w:num w:numId="8">
    <w:abstractNumId w:val="9"/>
  </w:num>
  <w:num w:numId="9">
    <w:abstractNumId w:val="5"/>
  </w:num>
  <w:num w:numId="10">
    <w:abstractNumId w:val="7"/>
  </w:num>
  <w:num w:numId="11">
    <w:abstractNumId w:val="16"/>
  </w:num>
  <w:num w:numId="12">
    <w:abstractNumId w:val="0"/>
  </w:num>
  <w:num w:numId="13">
    <w:abstractNumId w:val="4"/>
  </w:num>
  <w:num w:numId="14">
    <w:abstractNumId w:val="12"/>
  </w:num>
  <w:num w:numId="15">
    <w:abstractNumId w:val="1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02"/>
    <w:rsid w:val="000277E9"/>
    <w:rsid w:val="0004146E"/>
    <w:rsid w:val="00097082"/>
    <w:rsid w:val="000F6E51"/>
    <w:rsid w:val="00122E20"/>
    <w:rsid w:val="00134958"/>
    <w:rsid w:val="00167D1A"/>
    <w:rsid w:val="00186E88"/>
    <w:rsid w:val="001B6D4A"/>
    <w:rsid w:val="001C6ADE"/>
    <w:rsid w:val="00211434"/>
    <w:rsid w:val="00221F4D"/>
    <w:rsid w:val="00255538"/>
    <w:rsid w:val="002614A4"/>
    <w:rsid w:val="002E4EFA"/>
    <w:rsid w:val="002F4FCD"/>
    <w:rsid w:val="0033307D"/>
    <w:rsid w:val="00335CBE"/>
    <w:rsid w:val="00335F64"/>
    <w:rsid w:val="00347B13"/>
    <w:rsid w:val="00384E84"/>
    <w:rsid w:val="003C0BF1"/>
    <w:rsid w:val="003D7087"/>
    <w:rsid w:val="00440459"/>
    <w:rsid w:val="00473A68"/>
    <w:rsid w:val="004C74DD"/>
    <w:rsid w:val="0050641F"/>
    <w:rsid w:val="005111B5"/>
    <w:rsid w:val="00522AF7"/>
    <w:rsid w:val="00572490"/>
    <w:rsid w:val="005D2339"/>
    <w:rsid w:val="005D456E"/>
    <w:rsid w:val="00621716"/>
    <w:rsid w:val="006677B0"/>
    <w:rsid w:val="00677F47"/>
    <w:rsid w:val="006933C4"/>
    <w:rsid w:val="006C5DC5"/>
    <w:rsid w:val="006F37B5"/>
    <w:rsid w:val="006F4211"/>
    <w:rsid w:val="00753163"/>
    <w:rsid w:val="00756A6F"/>
    <w:rsid w:val="00756FBA"/>
    <w:rsid w:val="007802F1"/>
    <w:rsid w:val="007B0FC7"/>
    <w:rsid w:val="007D410A"/>
    <w:rsid w:val="007E44B1"/>
    <w:rsid w:val="007F7568"/>
    <w:rsid w:val="00807F8B"/>
    <w:rsid w:val="00813291"/>
    <w:rsid w:val="008161D5"/>
    <w:rsid w:val="00834DDE"/>
    <w:rsid w:val="008740FE"/>
    <w:rsid w:val="008954C3"/>
    <w:rsid w:val="008B1EA5"/>
    <w:rsid w:val="008D2B59"/>
    <w:rsid w:val="00910097"/>
    <w:rsid w:val="00920051"/>
    <w:rsid w:val="00925A16"/>
    <w:rsid w:val="00983527"/>
    <w:rsid w:val="009A0C97"/>
    <w:rsid w:val="009B5ACE"/>
    <w:rsid w:val="009D328F"/>
    <w:rsid w:val="00A16A52"/>
    <w:rsid w:val="00A25531"/>
    <w:rsid w:val="00A83426"/>
    <w:rsid w:val="00AE2DD3"/>
    <w:rsid w:val="00B209BC"/>
    <w:rsid w:val="00B633BB"/>
    <w:rsid w:val="00B806BE"/>
    <w:rsid w:val="00B81296"/>
    <w:rsid w:val="00BA1D6E"/>
    <w:rsid w:val="00BA3621"/>
    <w:rsid w:val="00BB5505"/>
    <w:rsid w:val="00BC27FB"/>
    <w:rsid w:val="00BD78D3"/>
    <w:rsid w:val="00BE73E4"/>
    <w:rsid w:val="00BF502F"/>
    <w:rsid w:val="00BF7A84"/>
    <w:rsid w:val="00C355CB"/>
    <w:rsid w:val="00C45681"/>
    <w:rsid w:val="00C53BA4"/>
    <w:rsid w:val="00C70AA8"/>
    <w:rsid w:val="00D33089"/>
    <w:rsid w:val="00D466D3"/>
    <w:rsid w:val="00D61829"/>
    <w:rsid w:val="00D63894"/>
    <w:rsid w:val="00D9006B"/>
    <w:rsid w:val="00DE47C0"/>
    <w:rsid w:val="00DE5E87"/>
    <w:rsid w:val="00E00E75"/>
    <w:rsid w:val="00E67702"/>
    <w:rsid w:val="00E75FAE"/>
    <w:rsid w:val="00E80E9B"/>
    <w:rsid w:val="00EA4E2F"/>
    <w:rsid w:val="00EC5AD4"/>
    <w:rsid w:val="00EE3BA1"/>
    <w:rsid w:val="00EE4E7D"/>
    <w:rsid w:val="00EF6624"/>
    <w:rsid w:val="00F00E44"/>
    <w:rsid w:val="00F23831"/>
    <w:rsid w:val="00F530A6"/>
    <w:rsid w:val="00F56D97"/>
    <w:rsid w:val="00F67FC6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0110"/>
  <w15:chartTrackingRefBased/>
  <w15:docId w15:val="{39D56251-C7BD-42AB-AA08-3887C43C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958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02F"/>
    <w:pPr>
      <w:ind w:left="720"/>
      <w:contextualSpacing/>
    </w:pPr>
  </w:style>
  <w:style w:type="table" w:styleId="Tablaconcuadrcula6concolores">
    <w:name w:val="Grid Table 6 Colorful"/>
    <w:basedOn w:val="Tablanormal"/>
    <w:uiPriority w:val="51"/>
    <w:rsid w:val="00EE3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00E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E44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C4568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45681"/>
    <w:rPr>
      <w:rFonts w:ascii="Arial" w:eastAsia="Arial" w:hAnsi="Arial" w:cs="Arial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nhideWhenUsed/>
    <w:rsid w:val="00DE47C0"/>
    <w:pPr>
      <w:spacing w:after="120" w:line="276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DE47C0"/>
  </w:style>
  <w:style w:type="character" w:styleId="Hipervnculo">
    <w:name w:val="Hyperlink"/>
    <w:basedOn w:val="Fuentedeprrafopredeter"/>
    <w:uiPriority w:val="99"/>
    <w:unhideWhenUsed/>
    <w:rsid w:val="000970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7082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6217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716"/>
    <w:rPr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62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 Martinez Jose Luis</dc:creator>
  <cp:keywords/>
  <dc:description/>
  <cp:lastModifiedBy>Microsoft Office User</cp:lastModifiedBy>
  <cp:revision>6</cp:revision>
  <dcterms:created xsi:type="dcterms:W3CDTF">2021-01-20T20:07:00Z</dcterms:created>
  <dcterms:modified xsi:type="dcterms:W3CDTF">2021-03-13T02:35:00Z</dcterms:modified>
</cp:coreProperties>
</file>