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C20C" w14:textId="281EAD2A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DETECCIÓN DE HONGOS FITOPATÓGENOS MEDIANTE TÉCNICAS</w:t>
      </w:r>
      <w:r w:rsidR="001068D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MOLECULARES EN INVERNADEROS DE CULTIVO DE JITOMATE (Solanum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lycopersicum L.) EN TLAXCALA, MÉXICO</w:t>
      </w:r>
    </w:p>
    <w:p w14:paraId="464C7679" w14:textId="47D35E48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Laura J. García-Barrera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1,2</w:t>
      </w:r>
      <w:r>
        <w:rPr>
          <w:rFonts w:ascii="Times New Roman" w:hAnsi="Times New Roman" w:cs="Times New Roman"/>
          <w:color w:val="000000"/>
          <w:kern w:val="0"/>
        </w:rPr>
        <w:t>*, Stefani A. Meza-Zamora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kern w:val="0"/>
        </w:rPr>
        <w:t>, Raúl J. Delgado-Macuil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2</w:t>
      </w:r>
      <w:r>
        <w:rPr>
          <w:rFonts w:ascii="Times New Roman" w:hAnsi="Times New Roman" w:cs="Times New Roman"/>
          <w:color w:val="000000"/>
          <w:kern w:val="0"/>
        </w:rPr>
        <w:t xml:space="preserve">, Juan C. Noa-Carrazana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</w:t>
      </w:r>
      <w:r>
        <w:rPr>
          <w:rFonts w:ascii="√wΩò" w:hAnsi="√wΩò" w:cs="√wΩò"/>
          <w:color w:val="000000"/>
          <w:kern w:val="0"/>
          <w:sz w:val="16"/>
          <w:szCs w:val="16"/>
        </w:rPr>
        <w:t>**</w:t>
      </w:r>
      <w:r>
        <w:rPr>
          <w:rFonts w:ascii="Times New Roman" w:hAnsi="Times New Roman" w:cs="Times New Roman"/>
          <w:color w:val="000000"/>
          <w:kern w:val="0"/>
        </w:rPr>
        <w:t>.</w:t>
      </w:r>
    </w:p>
    <w:p w14:paraId="70ADDF0D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7E69E854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kern w:val="0"/>
        </w:rPr>
        <w:t>Instituto de Biotecnología y Ecología Aplicada (INBIOTECA), Universidad Veracruzana,</w:t>
      </w:r>
    </w:p>
    <w:p w14:paraId="4002DFB1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Avenida de Las Culturas Veracruzanas 101, Xalapa CP 91090, Veracruz, Mexico.</w:t>
      </w:r>
    </w:p>
    <w:p w14:paraId="494C68D6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2 </w:t>
      </w:r>
      <w:r>
        <w:rPr>
          <w:rFonts w:ascii="Times New Roman" w:hAnsi="Times New Roman" w:cs="Times New Roman"/>
          <w:color w:val="000000"/>
          <w:kern w:val="0"/>
        </w:rPr>
        <w:t>Instituto Politécnico Nacional – Centro de Investigación en Biotecnología Aplicada. Ex-</w:t>
      </w:r>
    </w:p>
    <w:p w14:paraId="135EA3ED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Hacienda San Juan Molino Carretera Estatal Tecuexcomac-Tepetitla Km 1.5, Tlaxcala C.P.</w:t>
      </w:r>
    </w:p>
    <w:p w14:paraId="5F1E91EE" w14:textId="594DB869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90700, México.</w:t>
      </w:r>
    </w:p>
    <w:p w14:paraId="53731AB6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* </w:t>
      </w:r>
      <w:r>
        <w:rPr>
          <w:rFonts w:ascii="Times New Roman" w:hAnsi="Times New Roman" w:cs="Times New Roman"/>
          <w:color w:val="0000FF"/>
          <w:kern w:val="0"/>
        </w:rPr>
        <w:t>laurajeannette@gmail.com</w:t>
      </w:r>
      <w:r>
        <w:rPr>
          <w:rFonts w:ascii="Times New Roman" w:hAnsi="Times New Roman" w:cs="Times New Roman"/>
          <w:color w:val="000000"/>
          <w:kern w:val="0"/>
        </w:rPr>
        <w:t xml:space="preserve">; </w:t>
      </w:r>
      <w:r>
        <w:rPr>
          <w:rFonts w:ascii="√wΩò" w:hAnsi="√wΩò" w:cs="√wΩò"/>
          <w:color w:val="000000"/>
          <w:kern w:val="0"/>
        </w:rPr>
        <w:t>**</w:t>
      </w:r>
      <w:r>
        <w:rPr>
          <w:rFonts w:ascii="Times New Roman" w:hAnsi="Times New Roman" w:cs="Times New Roman"/>
          <w:color w:val="0000FF"/>
          <w:kern w:val="0"/>
        </w:rPr>
        <w:t>jnoa@uv.mx</w:t>
      </w:r>
    </w:p>
    <w:p w14:paraId="1EDE82D4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  <w:kern w:val="0"/>
        </w:rPr>
      </w:pPr>
    </w:p>
    <w:p w14:paraId="01D4AB23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La detección inequívoca de fitopatógenos presentes en el suelo es difícil de realizar con los</w:t>
      </w:r>
    </w:p>
    <w:p w14:paraId="2E377AEA" w14:textId="0534667F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métodos convencionales. En contraste, con las tecnologías basadas en ADN es posible realizar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una detección rápida y precisa de microorganismos presentes en el suelo, incluyendo patógenos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de cultivos. El objetivo de este trabajo fue realizar un análisis metataxonómico de suelo de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cultivo de jitomate (Solanum lycopersicum L.) bajo condiciones de invernadero para identificar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la estructura poblacional de los hongos en el suelo. Las muestras se colectaron en dos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invernaderos (A y B) en Tlaxcala, México, donde se han cultivado jitomates por al menos 5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años. Para el análisis de diversidad fúngica, se amplificó la región ITS1-2. La secuenciación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masiva se realizó en un equipo PGM Ion Torrent y los datos se procesaron usando una línea de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comando propias. El análisis metataxonómico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1 </w:t>
      </w:r>
      <w:r>
        <w:rPr>
          <w:rFonts w:ascii="Times New Roman" w:hAnsi="Times New Roman" w:cs="Times New Roman"/>
          <w:color w:val="000000"/>
          <w:kern w:val="0"/>
        </w:rPr>
        <w:t>identificó 194 y 395 especies en los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invernaderos A y B respectivamente, entre las más abundantes se encuentran los fitopatógenos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Fusarium oxysporum con abundancias relativas de 17.8 y 21.1 y Fusarium sp. con abundancias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de 3.3 y 23.1 en los invernaderos A y B respectivamente. Esto sugiere que existe un alto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potencial de infección para las plantas y que se requiere de un manejo adecuado para prevenir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posibles enfermedades ocasionadas por hongos fitopatógenos del suelo. El uso de técnicas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moleculares como herramienta de identificación molecular de patógenos de cultivos es una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estrategia medular para el control y manejo de enfermedades que afectan el rendimiento y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>
        <w:rPr>
          <w:rFonts w:ascii="Times New Roman" w:hAnsi="Times New Roman" w:cs="Times New Roman"/>
          <w:color w:val="000000"/>
          <w:kern w:val="0"/>
        </w:rPr>
        <w:t>calidad de los cultivos.</w:t>
      </w:r>
    </w:p>
    <w:p w14:paraId="0CA86926" w14:textId="7777777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14:paraId="217341DF" w14:textId="464CD587" w:rsid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F474D8">
        <w:rPr>
          <w:rFonts w:ascii="Times New Roman" w:hAnsi="Times New Roman" w:cs="Times New Roman"/>
          <w:b/>
          <w:bCs/>
          <w:color w:val="000000"/>
          <w:kern w:val="0"/>
        </w:rPr>
        <w:t>Palabras claves</w:t>
      </w:r>
      <w:r>
        <w:rPr>
          <w:rFonts w:ascii="Times New Roman" w:hAnsi="Times New Roman" w:cs="Times New Roman"/>
          <w:color w:val="000000"/>
          <w:kern w:val="0"/>
        </w:rPr>
        <w:t>: Diversidad fúngica, fitopatogenos del suelo, análisis metataxonómico.</w:t>
      </w:r>
    </w:p>
    <w:p w14:paraId="22F58425" w14:textId="6453ED54" w:rsidR="002E3937" w:rsidRPr="00F474D8" w:rsidRDefault="00F474D8" w:rsidP="00F474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lang w:val="en-US"/>
        </w:rPr>
      </w:pPr>
      <w:proofErr w:type="spellStart"/>
      <w:r w:rsidRPr="00F474D8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Referencias</w:t>
      </w:r>
      <w:proofErr w:type="spellEnd"/>
      <w:r w:rsidRPr="00F474D8">
        <w:rPr>
          <w:rFonts w:ascii="Times New Roman" w:hAnsi="Times New Roman" w:cs="Times New Roman"/>
          <w:b/>
          <w:bCs/>
          <w:color w:val="000000"/>
          <w:kern w:val="0"/>
          <w:lang w:val="en-US"/>
        </w:rPr>
        <w:t>: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00F474D8">
        <w:rPr>
          <w:rFonts w:ascii="Times New Roman" w:hAnsi="Times New Roman" w:cs="Times New Roman"/>
          <w:color w:val="000000"/>
          <w:kern w:val="0"/>
          <w:lang w:val="en-US"/>
        </w:rPr>
        <w:t>1 Cox, J.W., Bal</w:t>
      </w:r>
      <w:proofErr w:type="spellStart"/>
      <w:r w:rsidRPr="00F474D8">
        <w:rPr>
          <w:rFonts w:ascii="Times New Roman" w:hAnsi="Times New Roman" w:cs="Times New Roman"/>
          <w:color w:val="000000"/>
          <w:kern w:val="0"/>
          <w:lang w:val="en-US"/>
        </w:rPr>
        <w:t>lweg</w:t>
      </w:r>
      <w:proofErr w:type="spellEnd"/>
      <w:r w:rsidRPr="00F474D8">
        <w:rPr>
          <w:rFonts w:ascii="Times New Roman" w:hAnsi="Times New Roman" w:cs="Times New Roman"/>
          <w:color w:val="000000"/>
          <w:kern w:val="0"/>
          <w:lang w:val="en-US"/>
        </w:rPr>
        <w:t xml:space="preserve">, R.A., Taft, D.H., </w:t>
      </w:r>
      <w:proofErr w:type="spellStart"/>
      <w:r w:rsidRPr="00F474D8">
        <w:rPr>
          <w:rFonts w:ascii="Times New Roman" w:hAnsi="Times New Roman" w:cs="Times New Roman"/>
          <w:color w:val="000000"/>
          <w:kern w:val="0"/>
          <w:lang w:val="en-US"/>
        </w:rPr>
        <w:t>Velayutham</w:t>
      </w:r>
      <w:proofErr w:type="spellEnd"/>
      <w:r w:rsidRPr="00F474D8">
        <w:rPr>
          <w:rFonts w:ascii="Times New Roman" w:hAnsi="Times New Roman" w:cs="Times New Roman"/>
          <w:color w:val="000000"/>
          <w:kern w:val="0"/>
          <w:lang w:val="en-US"/>
        </w:rPr>
        <w:t xml:space="preserve">, P., Haslam, D.V., and </w:t>
      </w:r>
      <w:proofErr w:type="spellStart"/>
      <w:r w:rsidRPr="00F474D8">
        <w:rPr>
          <w:rFonts w:ascii="Times New Roman" w:hAnsi="Times New Roman" w:cs="Times New Roman"/>
          <w:color w:val="000000"/>
          <w:kern w:val="0"/>
          <w:lang w:val="en-US"/>
        </w:rPr>
        <w:t>Porollo</w:t>
      </w:r>
      <w:proofErr w:type="spellEnd"/>
      <w:r w:rsidRPr="00F474D8">
        <w:rPr>
          <w:rFonts w:ascii="Times New Roman" w:hAnsi="Times New Roman" w:cs="Times New Roman"/>
          <w:color w:val="000000"/>
          <w:kern w:val="0"/>
          <w:lang w:val="en-US"/>
        </w:rPr>
        <w:t>, A. 2017.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00F474D8">
        <w:rPr>
          <w:rFonts w:ascii="Times New Roman" w:hAnsi="Times New Roman" w:cs="Times New Roman"/>
          <w:color w:val="000000"/>
          <w:kern w:val="0"/>
          <w:lang w:val="en-US"/>
        </w:rPr>
        <w:t xml:space="preserve">A fast and robust protocol for metataxonomic analysis using </w:t>
      </w:r>
      <w:proofErr w:type="spellStart"/>
      <w:r w:rsidRPr="00F474D8">
        <w:rPr>
          <w:rFonts w:ascii="Times New Roman" w:hAnsi="Times New Roman" w:cs="Times New Roman"/>
          <w:color w:val="000000"/>
          <w:kern w:val="0"/>
          <w:lang w:val="en-US"/>
        </w:rPr>
        <w:t>RNAseq</w:t>
      </w:r>
      <w:proofErr w:type="spellEnd"/>
      <w:r w:rsidRPr="00F474D8">
        <w:rPr>
          <w:rFonts w:ascii="Times New Roman" w:hAnsi="Times New Roman" w:cs="Times New Roman"/>
          <w:color w:val="000000"/>
          <w:kern w:val="0"/>
          <w:lang w:val="en-US"/>
        </w:rPr>
        <w:t xml:space="preserve"> data. Microbiome, 5, 7.</w:t>
      </w:r>
      <w:r>
        <w:rPr>
          <w:rFonts w:ascii="Times New Roman" w:hAnsi="Times New Roman" w:cs="Times New Roman"/>
          <w:color w:val="000000"/>
          <w:kern w:val="0"/>
          <w:lang w:val="en-US"/>
        </w:rPr>
        <w:t xml:space="preserve"> </w:t>
      </w:r>
      <w:r w:rsidRPr="00F474D8">
        <w:rPr>
          <w:rFonts w:ascii="Times New Roman" w:hAnsi="Times New Roman" w:cs="Times New Roman"/>
          <w:color w:val="000000"/>
          <w:kern w:val="0"/>
          <w:lang w:val="en-US"/>
        </w:rPr>
        <w:t>https://doi.org/10.1186/s40168-016-0219-5.</w:t>
      </w:r>
    </w:p>
    <w:sectPr w:rsidR="002E3937" w:rsidRPr="00F474D8" w:rsidSect="004C3E61">
      <w:pgSz w:w="12240" w:h="15840"/>
      <w:pgMar w:top="107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√wΩ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329"/>
    <w:multiLevelType w:val="multilevel"/>
    <w:tmpl w:val="E0AA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27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4D8"/>
    <w:rsid w:val="000B54B8"/>
    <w:rsid w:val="001068DF"/>
    <w:rsid w:val="00263009"/>
    <w:rsid w:val="002E3937"/>
    <w:rsid w:val="00403294"/>
    <w:rsid w:val="004C3E61"/>
    <w:rsid w:val="005518AD"/>
    <w:rsid w:val="0072224A"/>
    <w:rsid w:val="0079366D"/>
    <w:rsid w:val="00F4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5352B"/>
  <w15:chartTrackingRefBased/>
  <w15:docId w15:val="{3E7CAD58-59ED-3741-BE5B-5C252AE6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54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8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aliases w:val="mem2"/>
    <w:basedOn w:val="Normal"/>
    <w:next w:val="Normal"/>
    <w:link w:val="Ttulo3Car"/>
    <w:autoRedefine/>
    <w:uiPriority w:val="9"/>
    <w:unhideWhenUsed/>
    <w:qFormat/>
    <w:rsid w:val="0079366D"/>
    <w:pPr>
      <w:outlineLvl w:val="2"/>
    </w:pPr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morias">
    <w:name w:val="memorias"/>
    <w:basedOn w:val="Ttulo2"/>
    <w:autoRedefine/>
    <w:qFormat/>
    <w:rsid w:val="005518AD"/>
    <w:rPr>
      <w:rFonts w:ascii="Times New Roman" w:hAnsi="Times New Roman"/>
      <w:color w:val="000000" w:themeColor="text1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518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aliases w:val="mem2 Car"/>
    <w:basedOn w:val="Fuentedeprrafopredeter"/>
    <w:link w:val="Ttulo3"/>
    <w:uiPriority w:val="9"/>
    <w:rsid w:val="0079366D"/>
    <w:rPr>
      <w:rFonts w:ascii="Times New Roman" w:eastAsia="Times New Roman" w:hAnsi="Times New Roman" w:cs="Times New Roman"/>
      <w:lang w:eastAsia="es-MX"/>
    </w:rPr>
  </w:style>
  <w:style w:type="paragraph" w:customStyle="1" w:styleId="memorias1">
    <w:name w:val="memorias 1"/>
    <w:basedOn w:val="Ttulo1"/>
    <w:autoRedefine/>
    <w:qFormat/>
    <w:rsid w:val="000B54B8"/>
    <w:pPr>
      <w:keepNext w:val="0"/>
      <w:keepLines w:val="0"/>
      <w:spacing w:before="83"/>
      <w:ind w:left="701"/>
    </w:pPr>
    <w:rPr>
      <w:rFonts w:ascii="Times New Roman" w:eastAsia="Arial" w:hAnsi="Arial" w:cs="Arial"/>
      <w:bCs/>
      <w:color w:val="auto"/>
      <w:sz w:val="40"/>
      <w:szCs w:val="4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B54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F474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equis</dc:creator>
  <cp:keywords/>
  <dc:description/>
  <cp:lastModifiedBy>equis</cp:lastModifiedBy>
  <cp:revision>2</cp:revision>
  <dcterms:created xsi:type="dcterms:W3CDTF">2023-09-11T17:12:00Z</dcterms:created>
  <dcterms:modified xsi:type="dcterms:W3CDTF">2023-09-11T17:14:00Z</dcterms:modified>
</cp:coreProperties>
</file>