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17D" w:rsidRDefault="0035417D" w:rsidP="0035417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Gill Sans MT" w:hAnsi="Gill Sans MT" w:cs="Times New Roman"/>
          <w:bCs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-740410</wp:posOffset>
            </wp:positionV>
            <wp:extent cx="1047750" cy="871855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17D" w:rsidRDefault="0035417D" w:rsidP="0035417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bCs/>
          <w:sz w:val="24"/>
        </w:rPr>
      </w:pPr>
      <w:r>
        <w:rPr>
          <w:rFonts w:ascii="Gill Sans MT" w:hAnsi="Gill Sans MT" w:cs="Times New Roman"/>
          <w:bCs/>
          <w:sz w:val="24"/>
        </w:rPr>
        <w:t>Dirección de Innovación Educativa</w:t>
      </w:r>
    </w:p>
    <w:p w:rsidR="0035417D" w:rsidRDefault="0035417D" w:rsidP="0035417D">
      <w:pPr>
        <w:pStyle w:val="Cuerpo"/>
        <w:spacing w:after="0" w:line="240" w:lineRule="auto"/>
        <w:jc w:val="center"/>
        <w:rPr>
          <w:rFonts w:ascii="Gill Sans MT" w:hAnsi="Gill Sans MT" w:cs="Times New Roman"/>
          <w:b/>
          <w:bCs/>
          <w:i/>
          <w:sz w:val="24"/>
        </w:rPr>
      </w:pPr>
      <w:r>
        <w:rPr>
          <w:rFonts w:ascii="Gill Sans MT" w:hAnsi="Gill Sans MT" w:cs="Times New Roman"/>
          <w:b/>
          <w:bCs/>
          <w:i/>
          <w:sz w:val="24"/>
        </w:rPr>
        <w:t>Departamento de Desarrollo Curricular</w:t>
      </w:r>
    </w:p>
    <w:p w:rsidR="0035417D" w:rsidRDefault="0035417D" w:rsidP="0035417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NewRoman"/>
          <w:sz w:val="19"/>
          <w:szCs w:val="23"/>
        </w:rPr>
      </w:pPr>
      <w:r>
        <w:rPr>
          <w:rFonts w:ascii="Gill Sans MT" w:hAnsi="Gill Sans MT" w:cs="TimesNewRoman"/>
          <w:b/>
          <w:smallCaps/>
          <w:sz w:val="23"/>
          <w:szCs w:val="23"/>
        </w:rPr>
        <w:t>Conformación de saberes y Experiencias educativas</w:t>
      </w:r>
    </w:p>
    <w:p w:rsidR="0035417D" w:rsidRDefault="0035417D" w:rsidP="000D5817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/>
          <w:b/>
          <w:bCs/>
          <w:color w:val="0000CC"/>
          <w:sz w:val="24"/>
        </w:rPr>
      </w:pPr>
      <w:bookmarkStart w:id="0" w:name="_GoBack"/>
      <w:bookmarkEnd w:id="0"/>
    </w:p>
    <w:p w:rsidR="000D5817" w:rsidRPr="004900F9" w:rsidRDefault="000D5817" w:rsidP="000D5817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CC"/>
          <w:sz w:val="24"/>
        </w:rPr>
      </w:pPr>
      <w:r>
        <w:rPr>
          <w:rFonts w:ascii="Gill Sans MT" w:hAnsi="Gill Sans MT"/>
          <w:b/>
          <w:bCs/>
          <w:color w:val="0000CC"/>
          <w:sz w:val="24"/>
        </w:rPr>
        <w:t>Sin clasificar</w:t>
      </w:r>
    </w:p>
    <w:p w:rsidR="000D5817" w:rsidRDefault="000D5817" w:rsidP="006569D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  <w:b/>
          <w:bCs/>
          <w:color w:val="0000CC"/>
          <w:sz w:val="24"/>
        </w:rPr>
      </w:pPr>
    </w:p>
    <w:p w:rsidR="000D5817" w:rsidRDefault="000D5817" w:rsidP="006569D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  <w:b/>
          <w:bCs/>
          <w:color w:val="0000CC"/>
          <w:sz w:val="24"/>
        </w:rPr>
      </w:pPr>
    </w:p>
    <w:p w:rsidR="006569D4" w:rsidRDefault="006569D4" w:rsidP="006569D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  <w:b/>
          <w:bCs/>
          <w:color w:val="0000CC"/>
          <w:sz w:val="24"/>
        </w:rPr>
      </w:pPr>
      <w:r>
        <w:rPr>
          <w:rFonts w:ascii="Gill Sans MT" w:hAnsi="Gill Sans MT"/>
          <w:b/>
          <w:bCs/>
          <w:color w:val="0000CC"/>
          <w:sz w:val="24"/>
        </w:rPr>
        <w:t>Laboratorio de Análisis C</w:t>
      </w:r>
      <w:r w:rsidRPr="004900F9">
        <w:rPr>
          <w:rFonts w:ascii="Gill Sans MT" w:hAnsi="Gill Sans MT"/>
          <w:b/>
          <w:bCs/>
          <w:color w:val="0000CC"/>
          <w:sz w:val="24"/>
        </w:rPr>
        <w:t>línicos</w:t>
      </w:r>
    </w:p>
    <w:p w:rsidR="006569D4" w:rsidRDefault="006569D4" w:rsidP="006569D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  <w:b/>
          <w:bCs/>
          <w:color w:val="0000CC"/>
          <w:sz w:val="24"/>
        </w:rPr>
      </w:pPr>
    </w:p>
    <w:tbl>
      <w:tblPr>
        <w:tblW w:w="51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  <w:gridCol w:w="2897"/>
        <w:gridCol w:w="2471"/>
        <w:gridCol w:w="2340"/>
        <w:gridCol w:w="2835"/>
      </w:tblGrid>
      <w:tr w:rsidR="000D5817" w:rsidRPr="0008245E" w:rsidTr="000D5817">
        <w:trPr>
          <w:jc w:val="center"/>
        </w:trPr>
        <w:tc>
          <w:tcPr>
            <w:tcW w:w="1084" w:type="pct"/>
            <w:shd w:val="clear" w:color="auto" w:fill="C0C0C0"/>
            <w:vAlign w:val="center"/>
          </w:tcPr>
          <w:p w:rsidR="006569D4" w:rsidRPr="000D5817" w:rsidRDefault="006569D4" w:rsidP="00694D0A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0D5817">
              <w:rPr>
                <w:rFonts w:ascii="Gill Sans MT" w:hAnsi="Gill Sans MT"/>
                <w:b/>
                <w:sz w:val="20"/>
                <w:szCs w:val="20"/>
              </w:rPr>
              <w:t>Saberes heurísticos</w:t>
            </w:r>
          </w:p>
          <w:p w:rsidR="006569D4" w:rsidRPr="000D5817" w:rsidRDefault="006569D4" w:rsidP="00694D0A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C0C0C0"/>
            <w:vAlign w:val="center"/>
          </w:tcPr>
          <w:p w:rsidR="006569D4" w:rsidRPr="000D5817" w:rsidRDefault="006569D4" w:rsidP="00694D0A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0D5817">
              <w:rPr>
                <w:rFonts w:ascii="Gill Sans MT" w:hAnsi="Gill Sans MT"/>
                <w:b/>
                <w:sz w:val="20"/>
                <w:szCs w:val="20"/>
              </w:rPr>
              <w:t>Saberes teóricos</w:t>
            </w:r>
          </w:p>
          <w:p w:rsidR="006569D4" w:rsidRPr="000D5817" w:rsidRDefault="006569D4" w:rsidP="00694D0A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C0C0C0"/>
            <w:vAlign w:val="center"/>
          </w:tcPr>
          <w:p w:rsidR="006569D4" w:rsidRPr="000D5817" w:rsidRDefault="006569D4" w:rsidP="00694D0A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0D5817">
              <w:rPr>
                <w:rFonts w:ascii="Gill Sans MT" w:hAnsi="Gill Sans MT"/>
                <w:b/>
                <w:sz w:val="20"/>
                <w:szCs w:val="20"/>
              </w:rPr>
              <w:t>Saberes axiológicos</w:t>
            </w:r>
          </w:p>
          <w:p w:rsidR="006569D4" w:rsidRPr="000D5817" w:rsidRDefault="006569D4" w:rsidP="00694D0A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69" w:type="pct"/>
            <w:shd w:val="clear" w:color="auto" w:fill="C0C0C0"/>
            <w:vAlign w:val="center"/>
          </w:tcPr>
          <w:p w:rsidR="006569D4" w:rsidRPr="000D5817" w:rsidRDefault="006569D4" w:rsidP="00694D0A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0D5817">
              <w:rPr>
                <w:rFonts w:ascii="Gill Sans MT" w:hAnsi="Gill Sans MT"/>
                <w:b/>
                <w:sz w:val="20"/>
                <w:szCs w:val="20"/>
              </w:rPr>
              <w:t>Nombre de la EE</w:t>
            </w:r>
          </w:p>
        </w:tc>
        <w:tc>
          <w:tcPr>
            <w:tcW w:w="1053" w:type="pct"/>
            <w:shd w:val="clear" w:color="auto" w:fill="C0C0C0"/>
            <w:vAlign w:val="center"/>
          </w:tcPr>
          <w:p w:rsidR="006569D4" w:rsidRPr="000D5817" w:rsidRDefault="006569D4" w:rsidP="00694D0A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0D5817">
              <w:rPr>
                <w:rFonts w:ascii="Gill Sans MT" w:hAnsi="Gill Sans MT"/>
                <w:b/>
                <w:sz w:val="20"/>
                <w:szCs w:val="20"/>
              </w:rPr>
              <w:t>Primera aproximación</w:t>
            </w:r>
          </w:p>
          <w:p w:rsidR="006569D4" w:rsidRPr="000D5817" w:rsidRDefault="006569D4" w:rsidP="00694D0A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0D5817">
              <w:rPr>
                <w:rFonts w:ascii="Gill Sans MT" w:hAnsi="Gill Sans MT"/>
                <w:b/>
                <w:sz w:val="20"/>
                <w:szCs w:val="20"/>
              </w:rPr>
              <w:t>Unidad de competencia</w:t>
            </w:r>
          </w:p>
        </w:tc>
      </w:tr>
      <w:tr w:rsidR="000D5817" w:rsidRPr="0008245E" w:rsidTr="000D5817">
        <w:trPr>
          <w:jc w:val="center"/>
        </w:trPr>
        <w:tc>
          <w:tcPr>
            <w:tcW w:w="1084" w:type="pct"/>
            <w:shd w:val="clear" w:color="auto" w:fill="auto"/>
          </w:tcPr>
          <w:p w:rsidR="006569D4" w:rsidRPr="004900F9" w:rsidRDefault="006569D4" w:rsidP="00694D0A">
            <w:pPr>
              <w:pStyle w:val="Textoindependiente"/>
              <w:spacing w:after="0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</w:p>
          <w:p w:rsidR="006569D4" w:rsidRPr="004900F9" w:rsidRDefault="006569D4" w:rsidP="006569D4">
            <w:pPr>
              <w:pStyle w:val="TableParagraph"/>
              <w:numPr>
                <w:ilvl w:val="0"/>
                <w:numId w:val="1"/>
              </w:numPr>
              <w:tabs>
                <w:tab w:val="left" w:pos="986"/>
                <w:tab w:val="left" w:pos="2096"/>
              </w:tabs>
              <w:ind w:left="176" w:hanging="176"/>
              <w:rPr>
                <w:rFonts w:ascii="Gill Sans MT" w:eastAsiaTheme="minorEastAsia" w:hAnsi="Gill Sans MT" w:cstheme="minorBidi"/>
                <w:lang w:val="es-MX"/>
              </w:rPr>
            </w:pPr>
            <w:r w:rsidRPr="004900F9">
              <w:rPr>
                <w:rFonts w:ascii="Gill Sans MT" w:eastAsiaTheme="minorEastAsia" w:hAnsi="Gill Sans MT" w:cstheme="minorBidi"/>
                <w:lang w:val="es-MX"/>
              </w:rPr>
              <w:t>Destreza manual para la toma, recolección y manejo de muestras biológicas humanas de calidad analítica</w:t>
            </w:r>
          </w:p>
          <w:p w:rsidR="006569D4" w:rsidRPr="004900F9" w:rsidRDefault="006569D4" w:rsidP="00694D0A">
            <w:pPr>
              <w:pStyle w:val="Textoindependiente"/>
              <w:spacing w:after="0"/>
              <w:ind w:left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</w:p>
          <w:p w:rsidR="006569D4" w:rsidRPr="004900F9" w:rsidRDefault="006569D4" w:rsidP="006569D4">
            <w:pPr>
              <w:pStyle w:val="Textoindependiente"/>
              <w:numPr>
                <w:ilvl w:val="0"/>
                <w:numId w:val="1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4900F9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Diferenciar células en distintas etapas de maduración.</w:t>
            </w:r>
          </w:p>
          <w:p w:rsidR="006569D4" w:rsidRPr="004900F9" w:rsidRDefault="006569D4" w:rsidP="006569D4">
            <w:pPr>
              <w:pStyle w:val="Textoindependiente"/>
              <w:numPr>
                <w:ilvl w:val="0"/>
                <w:numId w:val="1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4900F9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Interpretación de histogramas.</w:t>
            </w:r>
          </w:p>
          <w:p w:rsidR="006569D4" w:rsidRPr="004900F9" w:rsidRDefault="006569D4" w:rsidP="006569D4">
            <w:pPr>
              <w:pStyle w:val="Textoindependiente"/>
              <w:numPr>
                <w:ilvl w:val="0"/>
                <w:numId w:val="1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4900F9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Realizar pruebas de coagulación.</w:t>
            </w:r>
          </w:p>
        </w:tc>
        <w:tc>
          <w:tcPr>
            <w:tcW w:w="1076" w:type="pct"/>
            <w:shd w:val="clear" w:color="auto" w:fill="auto"/>
          </w:tcPr>
          <w:p w:rsidR="006569D4" w:rsidRPr="00886F0F" w:rsidRDefault="006569D4" w:rsidP="00694D0A">
            <w:pPr>
              <w:rPr>
                <w:rFonts w:ascii="Gill Sans MT" w:eastAsiaTheme="minorEastAsia" w:hAnsi="Gill Sans MT"/>
              </w:rPr>
            </w:pPr>
          </w:p>
          <w:p w:rsidR="006569D4" w:rsidRPr="004900F9" w:rsidRDefault="006569D4" w:rsidP="006569D4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4900F9">
              <w:rPr>
                <w:rFonts w:ascii="Gill Sans MT" w:eastAsiaTheme="minorEastAsia" w:hAnsi="Gill Sans MT"/>
              </w:rPr>
              <w:t xml:space="preserve">Aditivos (conservadores, anticoagulantes) </w:t>
            </w:r>
          </w:p>
          <w:p w:rsidR="006569D4" w:rsidRPr="004900F9" w:rsidRDefault="006569D4" w:rsidP="006569D4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4900F9">
              <w:rPr>
                <w:rFonts w:ascii="Gill Sans MT" w:eastAsiaTheme="minorEastAsia" w:hAnsi="Gill Sans MT"/>
              </w:rPr>
              <w:t xml:space="preserve">Alteraciones hematológicas </w:t>
            </w:r>
          </w:p>
          <w:p w:rsidR="006569D4" w:rsidRPr="004900F9" w:rsidRDefault="006569D4" w:rsidP="006569D4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4900F9">
              <w:rPr>
                <w:rFonts w:ascii="Gill Sans MT" w:eastAsiaTheme="minorEastAsia" w:hAnsi="Gill Sans MT"/>
              </w:rPr>
              <w:t>Colorantes para tinciones.</w:t>
            </w:r>
          </w:p>
          <w:p w:rsidR="006569D4" w:rsidRPr="004900F9" w:rsidRDefault="006569D4" w:rsidP="006569D4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4900F9">
              <w:rPr>
                <w:rFonts w:ascii="Gill Sans MT" w:eastAsiaTheme="minorEastAsia" w:hAnsi="Gill Sans MT"/>
              </w:rPr>
              <w:t>Comportamiento de indicadores hematológicos en procesos patológicos</w:t>
            </w:r>
          </w:p>
          <w:p w:rsidR="006569D4" w:rsidRPr="004900F9" w:rsidRDefault="006569D4" w:rsidP="006569D4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4900F9">
              <w:rPr>
                <w:rFonts w:ascii="Gill Sans MT" w:eastAsiaTheme="minorEastAsia" w:hAnsi="Gill Sans MT"/>
              </w:rPr>
              <w:t>Correlación de resultados con valores de referencia</w:t>
            </w:r>
          </w:p>
          <w:p w:rsidR="006569D4" w:rsidRPr="004900F9" w:rsidRDefault="006569D4" w:rsidP="006569D4">
            <w:pPr>
              <w:pStyle w:val="TableParagraph"/>
              <w:numPr>
                <w:ilvl w:val="0"/>
                <w:numId w:val="1"/>
              </w:numPr>
              <w:spacing w:line="235" w:lineRule="exact"/>
              <w:ind w:left="176" w:hanging="176"/>
              <w:rPr>
                <w:rFonts w:ascii="Gill Sans MT" w:eastAsiaTheme="minorEastAsia" w:hAnsi="Gill Sans MT" w:cstheme="minorBidi"/>
                <w:lang w:val="es-MX"/>
              </w:rPr>
            </w:pPr>
            <w:r w:rsidRPr="004900F9">
              <w:rPr>
                <w:rFonts w:ascii="Gill Sans MT" w:eastAsiaTheme="minorEastAsia" w:hAnsi="Gill Sans MT" w:cstheme="minorBidi"/>
                <w:lang w:val="es-MX"/>
              </w:rPr>
              <w:t>Fundamento de tinciones y colorantes</w:t>
            </w:r>
          </w:p>
          <w:p w:rsidR="006569D4" w:rsidRPr="004900F9" w:rsidRDefault="006569D4" w:rsidP="006569D4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4900F9">
              <w:rPr>
                <w:rFonts w:ascii="Gill Sans MT" w:eastAsiaTheme="minorEastAsia" w:hAnsi="Gill Sans MT"/>
              </w:rPr>
              <w:t>Hematología de la           serie blanca</w:t>
            </w:r>
          </w:p>
          <w:p w:rsidR="006569D4" w:rsidRPr="004900F9" w:rsidRDefault="006569D4" w:rsidP="006569D4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4900F9">
              <w:rPr>
                <w:rFonts w:ascii="Gill Sans MT" w:eastAsiaTheme="minorEastAsia" w:hAnsi="Gill Sans MT"/>
              </w:rPr>
              <w:t>Hematología de la serie roja</w:t>
            </w:r>
          </w:p>
          <w:p w:rsidR="006569D4" w:rsidRPr="004900F9" w:rsidRDefault="006569D4" w:rsidP="006569D4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4900F9">
              <w:rPr>
                <w:rFonts w:ascii="Gill Sans MT" w:eastAsiaTheme="minorEastAsia" w:hAnsi="Gill Sans MT"/>
              </w:rPr>
              <w:t xml:space="preserve">Hematopoyesis </w:t>
            </w:r>
          </w:p>
          <w:p w:rsidR="006569D4" w:rsidRPr="004900F9" w:rsidRDefault="006569D4" w:rsidP="006569D4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4900F9">
              <w:rPr>
                <w:rFonts w:ascii="Gill Sans MT" w:eastAsiaTheme="minorEastAsia" w:hAnsi="Gill Sans MT"/>
              </w:rPr>
              <w:t>Hemostasia</w:t>
            </w:r>
          </w:p>
          <w:p w:rsidR="006569D4" w:rsidRPr="004900F9" w:rsidRDefault="006569D4" w:rsidP="006569D4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4900F9">
              <w:rPr>
                <w:rFonts w:ascii="Gill Sans MT" w:eastAsiaTheme="minorEastAsia" w:hAnsi="Gill Sans MT"/>
              </w:rPr>
              <w:t>Métodos de tinción.</w:t>
            </w:r>
          </w:p>
        </w:tc>
        <w:tc>
          <w:tcPr>
            <w:tcW w:w="918" w:type="pct"/>
            <w:shd w:val="clear" w:color="auto" w:fill="auto"/>
          </w:tcPr>
          <w:p w:rsidR="006569D4" w:rsidRPr="004900F9" w:rsidRDefault="006569D4" w:rsidP="006569D4">
            <w:pPr>
              <w:pStyle w:val="TableParagraph"/>
              <w:numPr>
                <w:ilvl w:val="0"/>
                <w:numId w:val="1"/>
              </w:numPr>
              <w:tabs>
                <w:tab w:val="left" w:pos="1673"/>
              </w:tabs>
              <w:ind w:left="176" w:hanging="176"/>
              <w:rPr>
                <w:rFonts w:ascii="Gill Sans MT" w:eastAsiaTheme="minorEastAsia" w:hAnsi="Gill Sans MT" w:cstheme="minorBidi"/>
                <w:lang w:val="es-MX"/>
              </w:rPr>
            </w:pPr>
            <w:r w:rsidRPr="004900F9">
              <w:rPr>
                <w:rFonts w:ascii="Gill Sans MT" w:eastAsiaTheme="minorEastAsia" w:hAnsi="Gill Sans MT" w:cstheme="minorBidi"/>
                <w:lang w:val="es-MX"/>
              </w:rPr>
              <w:t xml:space="preserve">Conciencia social </w:t>
            </w:r>
          </w:p>
          <w:p w:rsidR="006569D4" w:rsidRPr="004900F9" w:rsidRDefault="006569D4" w:rsidP="006569D4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6" w:hanging="176"/>
              <w:rPr>
                <w:rFonts w:ascii="Gill Sans MT" w:eastAsiaTheme="minorEastAsia" w:hAnsi="Gill Sans MT"/>
              </w:rPr>
            </w:pPr>
            <w:r w:rsidRPr="004900F9">
              <w:rPr>
                <w:rFonts w:ascii="Gill Sans MT" w:eastAsiaTheme="minorEastAsia" w:hAnsi="Gill Sans MT"/>
              </w:rPr>
              <w:t>Confidencialidad   en manejo de información</w:t>
            </w:r>
          </w:p>
          <w:p w:rsidR="006569D4" w:rsidRPr="004900F9" w:rsidRDefault="006569D4" w:rsidP="006569D4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6" w:hanging="176"/>
              <w:rPr>
                <w:rFonts w:ascii="Gill Sans MT" w:eastAsiaTheme="minorEastAsia" w:hAnsi="Gill Sans MT"/>
              </w:rPr>
            </w:pPr>
            <w:r w:rsidRPr="004900F9">
              <w:rPr>
                <w:rFonts w:ascii="Gill Sans MT" w:eastAsiaTheme="minorEastAsia" w:hAnsi="Gill Sans MT"/>
              </w:rPr>
              <w:t>Confidencialidad y ética en el reporte de resultados</w:t>
            </w:r>
          </w:p>
          <w:p w:rsidR="006569D4" w:rsidRPr="004900F9" w:rsidRDefault="006569D4" w:rsidP="006569D4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6" w:hanging="176"/>
              <w:rPr>
                <w:rFonts w:ascii="Gill Sans MT" w:eastAsiaTheme="minorEastAsia" w:hAnsi="Gill Sans MT"/>
              </w:rPr>
            </w:pPr>
            <w:r w:rsidRPr="004900F9">
              <w:rPr>
                <w:rFonts w:ascii="Gill Sans MT" w:eastAsiaTheme="minorEastAsia" w:hAnsi="Gill Sans MT"/>
              </w:rPr>
              <w:t>Constancia y responsabilidad en la realización de actividades</w:t>
            </w:r>
          </w:p>
          <w:p w:rsidR="006569D4" w:rsidRPr="004900F9" w:rsidRDefault="006569D4" w:rsidP="006569D4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4900F9">
              <w:rPr>
                <w:rFonts w:ascii="Gill Sans MT" w:eastAsiaTheme="minorEastAsia" w:hAnsi="Gill Sans MT"/>
              </w:rPr>
              <w:t>Cooperación en la realización de tareas</w:t>
            </w:r>
          </w:p>
          <w:p w:rsidR="006569D4" w:rsidRPr="004900F9" w:rsidRDefault="006569D4" w:rsidP="006569D4">
            <w:pPr>
              <w:pStyle w:val="TableParagraph"/>
              <w:numPr>
                <w:ilvl w:val="0"/>
                <w:numId w:val="1"/>
              </w:numPr>
              <w:spacing w:line="242" w:lineRule="auto"/>
              <w:ind w:left="176" w:hanging="176"/>
              <w:rPr>
                <w:rFonts w:ascii="Gill Sans MT" w:eastAsiaTheme="minorEastAsia" w:hAnsi="Gill Sans MT" w:cstheme="minorBidi"/>
                <w:lang w:val="es-MX"/>
              </w:rPr>
            </w:pPr>
            <w:r w:rsidRPr="004900F9">
              <w:rPr>
                <w:rFonts w:ascii="Gill Sans MT" w:eastAsiaTheme="minorEastAsia" w:hAnsi="Gill Sans MT" w:cstheme="minorBidi"/>
                <w:lang w:val="es-MX"/>
              </w:rPr>
              <w:t>Empatía con el paciente</w:t>
            </w:r>
          </w:p>
          <w:p w:rsidR="006569D4" w:rsidRPr="004900F9" w:rsidRDefault="006569D4" w:rsidP="006569D4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6" w:hanging="176"/>
              <w:rPr>
                <w:rFonts w:ascii="Gill Sans MT" w:eastAsiaTheme="minorEastAsia" w:hAnsi="Gill Sans MT"/>
              </w:rPr>
            </w:pPr>
            <w:r w:rsidRPr="004900F9">
              <w:rPr>
                <w:rFonts w:ascii="Gill Sans MT" w:eastAsiaTheme="minorEastAsia" w:hAnsi="Gill Sans MT"/>
              </w:rPr>
              <w:t>Ética profesional</w:t>
            </w:r>
          </w:p>
          <w:p w:rsidR="006569D4" w:rsidRPr="004900F9" w:rsidRDefault="006569D4" w:rsidP="006569D4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6" w:hanging="176"/>
              <w:rPr>
                <w:rFonts w:ascii="Gill Sans MT" w:eastAsiaTheme="minorEastAsia" w:hAnsi="Gill Sans MT"/>
              </w:rPr>
            </w:pPr>
            <w:r w:rsidRPr="004900F9">
              <w:rPr>
                <w:rFonts w:ascii="Gill Sans MT" w:eastAsiaTheme="minorEastAsia" w:hAnsi="Gill Sans MT"/>
              </w:rPr>
              <w:t>Honestidad en la práctica profesional.</w:t>
            </w:r>
          </w:p>
          <w:p w:rsidR="006569D4" w:rsidRPr="004900F9" w:rsidRDefault="006569D4" w:rsidP="006569D4">
            <w:pPr>
              <w:pStyle w:val="TableParagraph"/>
              <w:numPr>
                <w:ilvl w:val="0"/>
                <w:numId w:val="1"/>
              </w:numPr>
              <w:tabs>
                <w:tab w:val="left" w:pos="1673"/>
              </w:tabs>
              <w:ind w:left="176" w:hanging="176"/>
              <w:rPr>
                <w:rFonts w:ascii="Gill Sans MT" w:eastAsiaTheme="minorEastAsia" w:hAnsi="Gill Sans MT" w:cstheme="minorBidi"/>
                <w:lang w:val="es-MX"/>
              </w:rPr>
            </w:pPr>
            <w:r w:rsidRPr="004900F9">
              <w:rPr>
                <w:rFonts w:ascii="Gill Sans MT" w:eastAsiaTheme="minorEastAsia" w:hAnsi="Gill Sans MT" w:cstheme="minorBidi"/>
                <w:lang w:val="es-MX"/>
              </w:rPr>
              <w:t xml:space="preserve">Respeto a los derechos humanos. </w:t>
            </w:r>
          </w:p>
          <w:p w:rsidR="006569D4" w:rsidRPr="004900F9" w:rsidRDefault="006569D4" w:rsidP="006569D4">
            <w:pPr>
              <w:pStyle w:val="TableParagraph"/>
              <w:numPr>
                <w:ilvl w:val="0"/>
                <w:numId w:val="1"/>
              </w:numPr>
              <w:ind w:left="176" w:hanging="176"/>
              <w:rPr>
                <w:rFonts w:ascii="Gill Sans MT" w:eastAsiaTheme="minorEastAsia" w:hAnsi="Gill Sans MT" w:cstheme="minorBidi"/>
                <w:lang w:val="es-MX"/>
              </w:rPr>
            </w:pPr>
            <w:r w:rsidRPr="004900F9">
              <w:rPr>
                <w:rFonts w:ascii="Gill Sans MT" w:eastAsiaTheme="minorEastAsia" w:hAnsi="Gill Sans MT" w:cstheme="minorBidi"/>
                <w:lang w:val="es-MX"/>
              </w:rPr>
              <w:t>Responsabilidad   en el desempeño profesional.</w:t>
            </w:r>
          </w:p>
          <w:p w:rsidR="006569D4" w:rsidRPr="004900F9" w:rsidRDefault="006569D4" w:rsidP="006569D4">
            <w:pPr>
              <w:pStyle w:val="TableParagraph"/>
              <w:numPr>
                <w:ilvl w:val="0"/>
                <w:numId w:val="1"/>
              </w:numPr>
              <w:ind w:left="176" w:hanging="176"/>
              <w:rPr>
                <w:rFonts w:ascii="Gill Sans MT" w:eastAsiaTheme="minorEastAsia" w:hAnsi="Gill Sans MT" w:cstheme="minorBidi"/>
                <w:lang w:val="es-MX"/>
              </w:rPr>
            </w:pPr>
            <w:r w:rsidRPr="004900F9">
              <w:rPr>
                <w:rFonts w:ascii="Gill Sans MT" w:eastAsiaTheme="minorEastAsia" w:hAnsi="Gill Sans MT" w:cstheme="minorBidi"/>
                <w:lang w:val="es-MX"/>
              </w:rPr>
              <w:lastRenderedPageBreak/>
              <w:t xml:space="preserve">Solidaridad </w:t>
            </w:r>
          </w:p>
          <w:p w:rsidR="006569D4" w:rsidRPr="004900F9" w:rsidRDefault="006569D4" w:rsidP="006569D4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4900F9">
              <w:rPr>
                <w:rFonts w:ascii="Gill Sans MT" w:eastAsiaTheme="minorEastAsia" w:hAnsi="Gill Sans MT"/>
              </w:rPr>
              <w:t>Tenacidad en las actividades recomendadas</w:t>
            </w:r>
          </w:p>
          <w:p w:rsidR="006569D4" w:rsidRPr="004900F9" w:rsidRDefault="006569D4" w:rsidP="006569D4">
            <w:pPr>
              <w:pStyle w:val="TableParagraph"/>
              <w:numPr>
                <w:ilvl w:val="0"/>
                <w:numId w:val="1"/>
              </w:numPr>
              <w:ind w:left="176" w:hanging="176"/>
              <w:rPr>
                <w:rFonts w:ascii="Gill Sans MT" w:eastAsiaTheme="minorEastAsia" w:hAnsi="Gill Sans MT" w:cstheme="minorBidi"/>
                <w:lang w:val="es-MX"/>
              </w:rPr>
            </w:pPr>
            <w:r w:rsidRPr="004900F9">
              <w:rPr>
                <w:rFonts w:ascii="Gill Sans MT" w:eastAsiaTheme="minorEastAsia" w:hAnsi="Gill Sans MT" w:cstheme="minorBidi"/>
                <w:lang w:val="es-MX"/>
              </w:rPr>
              <w:t xml:space="preserve">Tolerancia 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6569D4" w:rsidRPr="0008245E" w:rsidRDefault="006569D4" w:rsidP="00694D0A">
            <w:pPr>
              <w:pStyle w:val="Textoindependiente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8245E">
              <w:rPr>
                <w:rFonts w:ascii="Gill Sans MT" w:hAnsi="Gill Sans MT" w:cs="Arial"/>
                <w:b/>
                <w:sz w:val="22"/>
                <w:szCs w:val="22"/>
              </w:rPr>
              <w:lastRenderedPageBreak/>
              <w:t>Hematología clínica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6569D4" w:rsidRPr="0008245E" w:rsidRDefault="006569D4" w:rsidP="00694D0A">
            <w:pPr>
              <w:pStyle w:val="Textoindependiente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08245E">
              <w:rPr>
                <w:rFonts w:ascii="Gill Sans MT" w:hAnsi="Gill Sans MT" w:cs="Arial"/>
                <w:sz w:val="22"/>
                <w:szCs w:val="22"/>
              </w:rPr>
              <w:t xml:space="preserve">El estudiante aplica con responsabilidad, </w:t>
            </w:r>
            <w:proofErr w:type="gramStart"/>
            <w:r w:rsidRPr="0008245E">
              <w:rPr>
                <w:rFonts w:ascii="Gill Sans MT" w:hAnsi="Gill Sans MT" w:cs="Arial"/>
                <w:sz w:val="22"/>
                <w:szCs w:val="22"/>
              </w:rPr>
              <w:t>honestidad  y</w:t>
            </w:r>
            <w:proofErr w:type="gramEnd"/>
            <w:r w:rsidRPr="0008245E">
              <w:rPr>
                <w:rFonts w:ascii="Gill Sans MT" w:hAnsi="Gill Sans MT" w:cs="Arial"/>
                <w:sz w:val="22"/>
                <w:szCs w:val="22"/>
              </w:rPr>
              <w:t xml:space="preserve"> compromiso social, los conocimientos sobre la fisiología y fisiopatología de las células hemáticas y del mecanismo hemostático para la correcta interpretación de los resultados y su correlación con patologías. Desarrollando destreza manual  y capacidad de observación.</w:t>
            </w:r>
          </w:p>
        </w:tc>
      </w:tr>
    </w:tbl>
    <w:p w:rsidR="00B03987" w:rsidRPr="000D5817" w:rsidRDefault="0035417D">
      <w:pPr>
        <w:rPr>
          <w:color w:val="0000CC"/>
          <w:sz w:val="24"/>
        </w:rPr>
      </w:pPr>
    </w:p>
    <w:p w:rsidR="000D5817" w:rsidRPr="000D5817" w:rsidRDefault="000D5817">
      <w:pPr>
        <w:rPr>
          <w:b/>
          <w:color w:val="0000CC"/>
          <w:sz w:val="24"/>
        </w:rPr>
      </w:pPr>
      <w:r w:rsidRPr="000D5817">
        <w:rPr>
          <w:b/>
          <w:color w:val="0000CC"/>
          <w:sz w:val="24"/>
        </w:rPr>
        <w:t>Banco de Sangre</w:t>
      </w:r>
    </w:p>
    <w:tbl>
      <w:tblPr>
        <w:tblW w:w="51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2976"/>
        <w:gridCol w:w="2552"/>
        <w:gridCol w:w="2267"/>
        <w:gridCol w:w="2694"/>
      </w:tblGrid>
      <w:tr w:rsidR="000D5817" w:rsidRPr="005B0F8F" w:rsidTr="000D5817">
        <w:trPr>
          <w:cantSplit/>
          <w:jc w:val="center"/>
        </w:trPr>
        <w:tc>
          <w:tcPr>
            <w:tcW w:w="1063" w:type="pct"/>
            <w:shd w:val="clear" w:color="auto" w:fill="D9D9D9" w:themeFill="background1" w:themeFillShade="D9"/>
            <w:vAlign w:val="center"/>
          </w:tcPr>
          <w:p w:rsidR="000D5817" w:rsidRPr="004900F9" w:rsidRDefault="000D5817" w:rsidP="000D5817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  <w:szCs w:val="22"/>
              </w:rPr>
            </w:pPr>
            <w:r w:rsidRPr="004900F9">
              <w:rPr>
                <w:rFonts w:ascii="Gill Sans MT" w:hAnsi="Gill Sans MT"/>
                <w:b/>
                <w:sz w:val="20"/>
                <w:szCs w:val="22"/>
              </w:rPr>
              <w:t>Saberes heurísticos</w:t>
            </w:r>
          </w:p>
          <w:p w:rsidR="000D5817" w:rsidRPr="004900F9" w:rsidRDefault="000D5817" w:rsidP="000D5817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  <w:szCs w:val="22"/>
              </w:rPr>
            </w:pPr>
          </w:p>
        </w:tc>
        <w:tc>
          <w:tcPr>
            <w:tcW w:w="1117" w:type="pct"/>
            <w:shd w:val="clear" w:color="auto" w:fill="D9D9D9" w:themeFill="background1" w:themeFillShade="D9"/>
            <w:vAlign w:val="center"/>
          </w:tcPr>
          <w:p w:rsidR="000D5817" w:rsidRPr="004900F9" w:rsidRDefault="000D5817" w:rsidP="000D5817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  <w:szCs w:val="22"/>
              </w:rPr>
            </w:pPr>
            <w:r w:rsidRPr="004900F9">
              <w:rPr>
                <w:rFonts w:ascii="Gill Sans MT" w:hAnsi="Gill Sans MT"/>
                <w:b/>
                <w:sz w:val="20"/>
                <w:szCs w:val="22"/>
              </w:rPr>
              <w:t>Saberes teóricos</w:t>
            </w:r>
          </w:p>
          <w:p w:rsidR="000D5817" w:rsidRPr="004900F9" w:rsidRDefault="000D5817" w:rsidP="000D5817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  <w:szCs w:val="22"/>
              </w:rPr>
            </w:pPr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:rsidR="000D5817" w:rsidRPr="004900F9" w:rsidRDefault="000D5817" w:rsidP="000D5817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  <w:szCs w:val="22"/>
              </w:rPr>
            </w:pPr>
            <w:r w:rsidRPr="004900F9">
              <w:rPr>
                <w:rFonts w:ascii="Gill Sans MT" w:hAnsi="Gill Sans MT"/>
                <w:b/>
                <w:sz w:val="20"/>
                <w:szCs w:val="22"/>
              </w:rPr>
              <w:t>Saberes axiológicos</w:t>
            </w:r>
          </w:p>
          <w:p w:rsidR="000D5817" w:rsidRPr="004900F9" w:rsidRDefault="000D5817" w:rsidP="000D5817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  <w:szCs w:val="22"/>
              </w:rPr>
            </w:pPr>
          </w:p>
        </w:tc>
        <w:tc>
          <w:tcPr>
            <w:tcW w:w="851" w:type="pct"/>
            <w:shd w:val="clear" w:color="auto" w:fill="D9D9D9" w:themeFill="background1" w:themeFillShade="D9"/>
            <w:vAlign w:val="center"/>
          </w:tcPr>
          <w:p w:rsidR="000D5817" w:rsidRPr="004900F9" w:rsidRDefault="000D5817" w:rsidP="000D5817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  <w:szCs w:val="22"/>
              </w:rPr>
            </w:pPr>
            <w:r w:rsidRPr="004900F9">
              <w:rPr>
                <w:rFonts w:ascii="Gill Sans MT" w:hAnsi="Gill Sans MT"/>
                <w:b/>
                <w:sz w:val="20"/>
                <w:szCs w:val="22"/>
              </w:rPr>
              <w:t>Nombre de la EE</w:t>
            </w:r>
          </w:p>
        </w:tc>
        <w:tc>
          <w:tcPr>
            <w:tcW w:w="1011" w:type="pct"/>
            <w:shd w:val="clear" w:color="auto" w:fill="D9D9D9" w:themeFill="background1" w:themeFillShade="D9"/>
            <w:vAlign w:val="center"/>
          </w:tcPr>
          <w:p w:rsidR="000D5817" w:rsidRPr="004900F9" w:rsidRDefault="000D5817" w:rsidP="000D5817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  <w:szCs w:val="22"/>
              </w:rPr>
            </w:pPr>
            <w:r w:rsidRPr="004900F9">
              <w:rPr>
                <w:rFonts w:ascii="Gill Sans MT" w:hAnsi="Gill Sans MT"/>
                <w:b/>
                <w:sz w:val="20"/>
                <w:szCs w:val="22"/>
              </w:rPr>
              <w:t>Primera aproximación</w:t>
            </w:r>
          </w:p>
          <w:p w:rsidR="000D5817" w:rsidRPr="004900F9" w:rsidRDefault="000D5817" w:rsidP="000D5817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  <w:szCs w:val="22"/>
              </w:rPr>
            </w:pPr>
            <w:r w:rsidRPr="004900F9">
              <w:rPr>
                <w:rFonts w:ascii="Gill Sans MT" w:hAnsi="Gill Sans MT"/>
                <w:b/>
                <w:sz w:val="20"/>
                <w:szCs w:val="22"/>
              </w:rPr>
              <w:t>Unidad de competencia</w:t>
            </w:r>
          </w:p>
        </w:tc>
      </w:tr>
      <w:tr w:rsidR="000D5817" w:rsidRPr="005B0F8F" w:rsidTr="000D5817">
        <w:trPr>
          <w:cantSplit/>
          <w:jc w:val="center"/>
        </w:trPr>
        <w:tc>
          <w:tcPr>
            <w:tcW w:w="1063" w:type="pct"/>
          </w:tcPr>
          <w:p w:rsidR="000D5817" w:rsidRPr="000D5817" w:rsidRDefault="000D5817" w:rsidP="000D581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0D5817">
              <w:rPr>
                <w:rFonts w:ascii="Gill Sans MT" w:eastAsiaTheme="minorEastAsia" w:hAnsi="Gill Sans MT"/>
              </w:rPr>
              <w:t>Ejecutar acciones de sustentabilidad en banco de sangre.</w:t>
            </w:r>
          </w:p>
          <w:p w:rsidR="000D5817" w:rsidRPr="000D5817" w:rsidRDefault="000D5817" w:rsidP="000D5817">
            <w:pPr>
              <w:pStyle w:val="Prrafodelista"/>
              <w:framePr w:hSpace="141" w:wrap="around" w:hAnchor="margin" w:y="-81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0D5817">
              <w:rPr>
                <w:rFonts w:ascii="Gill Sans MT" w:eastAsiaTheme="minorEastAsia" w:hAnsi="Gill Sans MT"/>
              </w:rPr>
              <w:t>Comunicará y promoverá los beneficios que tiene para la sociedad la donación de sangre.</w:t>
            </w:r>
          </w:p>
        </w:tc>
        <w:tc>
          <w:tcPr>
            <w:tcW w:w="1117" w:type="pct"/>
          </w:tcPr>
          <w:p w:rsidR="000D5817" w:rsidRPr="000D5817" w:rsidRDefault="000D5817" w:rsidP="000D581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0D5817">
              <w:rPr>
                <w:rFonts w:ascii="Gill Sans MT" w:eastAsiaTheme="minorEastAsia" w:hAnsi="Gill Sans MT"/>
              </w:rPr>
              <w:t>Concepto de Red Fría</w:t>
            </w:r>
          </w:p>
          <w:p w:rsidR="000D5817" w:rsidRPr="000D5817" w:rsidRDefault="000D5817" w:rsidP="000D5817">
            <w:pPr>
              <w:pStyle w:val="Prrafodelista"/>
              <w:framePr w:hSpace="141" w:wrap="around" w:hAnchor="margin" w:y="-81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0D5817">
              <w:rPr>
                <w:rFonts w:ascii="Gill Sans MT" w:eastAsiaTheme="minorEastAsia" w:hAnsi="Gill Sans MT"/>
              </w:rPr>
              <w:t>Áreas de banco de sangre</w:t>
            </w:r>
          </w:p>
          <w:p w:rsidR="000D5817" w:rsidRPr="000D5817" w:rsidRDefault="000D5817" w:rsidP="000D5817">
            <w:pPr>
              <w:pStyle w:val="Prrafodelista"/>
              <w:framePr w:hSpace="141" w:wrap="around" w:hAnchor="margin" w:y="-81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0D5817">
              <w:rPr>
                <w:rFonts w:ascii="Gill Sans MT" w:eastAsiaTheme="minorEastAsia" w:hAnsi="Gill Sans MT"/>
              </w:rPr>
              <w:t>Características de las muestras.</w:t>
            </w:r>
          </w:p>
          <w:p w:rsidR="000D5817" w:rsidRPr="000D5817" w:rsidRDefault="000D5817" w:rsidP="000D5817">
            <w:pPr>
              <w:pStyle w:val="Prrafodelista"/>
              <w:framePr w:hSpace="141" w:wrap="around" w:hAnchor="margin" w:y="-81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0D5817">
              <w:rPr>
                <w:rFonts w:ascii="Gill Sans MT" w:eastAsiaTheme="minorEastAsia" w:hAnsi="Gill Sans MT"/>
              </w:rPr>
              <w:t>Conocimiento de la utilidad y función de las causas de rechazo de los donadores de sangre.</w:t>
            </w:r>
          </w:p>
          <w:p w:rsidR="000D5817" w:rsidRPr="000D5817" w:rsidRDefault="000D5817" w:rsidP="000D5817">
            <w:pPr>
              <w:pStyle w:val="Prrafodelista"/>
              <w:framePr w:hSpace="141" w:wrap="around" w:hAnchor="margin" w:y="-81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0D5817">
              <w:rPr>
                <w:rFonts w:ascii="Gill Sans MT" w:eastAsiaTheme="minorEastAsia" w:hAnsi="Gill Sans MT"/>
              </w:rPr>
              <w:t>Conocimiento de la utilidad y función de los programas de información, sensibilización y reclutamiento en la comunidad para fomentar la donación altruista.</w:t>
            </w:r>
          </w:p>
          <w:p w:rsidR="000D5817" w:rsidRPr="000D5817" w:rsidRDefault="000D5817" w:rsidP="000D5817">
            <w:pPr>
              <w:pStyle w:val="Prrafodelista"/>
              <w:framePr w:hSpace="141" w:wrap="around" w:hAnchor="margin" w:y="-81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0D5817">
              <w:rPr>
                <w:rFonts w:ascii="Gill Sans MT" w:eastAsiaTheme="minorEastAsia" w:hAnsi="Gill Sans MT"/>
              </w:rPr>
              <w:t>Higiene y seguridad en el banco de sangre</w:t>
            </w:r>
          </w:p>
          <w:p w:rsidR="000D5817" w:rsidRPr="000D5817" w:rsidRDefault="000D5817" w:rsidP="000D5817">
            <w:pPr>
              <w:pStyle w:val="Prrafodelista"/>
              <w:framePr w:hSpace="141" w:wrap="around" w:hAnchor="margin" w:y="-81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0D5817">
              <w:rPr>
                <w:rFonts w:ascii="Gill Sans MT" w:eastAsiaTheme="minorEastAsia" w:hAnsi="Gill Sans MT"/>
              </w:rPr>
              <w:t>Tipos de donación</w:t>
            </w:r>
          </w:p>
          <w:p w:rsidR="000D5817" w:rsidRPr="000D5817" w:rsidRDefault="000D5817" w:rsidP="000D5817">
            <w:pPr>
              <w:pStyle w:val="Prrafodelista"/>
              <w:framePr w:hSpace="141" w:wrap="around" w:hAnchor="margin" w:y="-81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0D5817">
              <w:rPr>
                <w:rFonts w:ascii="Gill Sans MT" w:eastAsiaTheme="minorEastAsia" w:hAnsi="Gill Sans MT"/>
              </w:rPr>
              <w:t xml:space="preserve">Tipos de </w:t>
            </w:r>
            <w:proofErr w:type="spellStart"/>
            <w:r w:rsidRPr="000D5817">
              <w:rPr>
                <w:rFonts w:ascii="Gill Sans MT" w:eastAsiaTheme="minorEastAsia" w:hAnsi="Gill Sans MT"/>
              </w:rPr>
              <w:t>hemocomponentes</w:t>
            </w:r>
            <w:proofErr w:type="spellEnd"/>
          </w:p>
        </w:tc>
        <w:tc>
          <w:tcPr>
            <w:tcW w:w="958" w:type="pct"/>
          </w:tcPr>
          <w:p w:rsidR="000D5817" w:rsidRPr="005B0F8F" w:rsidRDefault="000D5817" w:rsidP="000D5817">
            <w:pPr>
              <w:pStyle w:val="Textoindependiente"/>
              <w:rPr>
                <w:rFonts w:ascii="Gill Sans MT" w:hAnsi="Gill Sans MT"/>
              </w:rPr>
            </w:pPr>
          </w:p>
        </w:tc>
        <w:tc>
          <w:tcPr>
            <w:tcW w:w="851" w:type="pct"/>
          </w:tcPr>
          <w:p w:rsidR="000D5817" w:rsidRDefault="000D5817" w:rsidP="000D5817">
            <w:pPr>
              <w:pStyle w:val="Textoindependiente"/>
              <w:rPr>
                <w:rFonts w:ascii="Gill Sans MT" w:hAnsi="Gill Sans MT"/>
              </w:rPr>
            </w:pPr>
          </w:p>
        </w:tc>
        <w:tc>
          <w:tcPr>
            <w:tcW w:w="1011" w:type="pct"/>
          </w:tcPr>
          <w:p w:rsidR="000D5817" w:rsidRPr="005B0F8F" w:rsidRDefault="000D5817" w:rsidP="000D5817">
            <w:pPr>
              <w:pStyle w:val="Textoindependiente"/>
              <w:rPr>
                <w:rFonts w:ascii="Gill Sans MT" w:hAnsi="Gill Sans MT"/>
              </w:rPr>
            </w:pPr>
          </w:p>
        </w:tc>
      </w:tr>
    </w:tbl>
    <w:p w:rsidR="00A50DF1" w:rsidRDefault="00A50DF1"/>
    <w:p w:rsidR="00A50DF1" w:rsidRDefault="00A50DF1">
      <w:r>
        <w:br w:type="page"/>
      </w:r>
    </w:p>
    <w:p w:rsidR="000D5817" w:rsidRPr="00A50DF1" w:rsidRDefault="00A50DF1">
      <w:pPr>
        <w:rPr>
          <w:b/>
          <w:color w:val="0000CC"/>
          <w:sz w:val="24"/>
        </w:rPr>
      </w:pPr>
      <w:r w:rsidRPr="00A50DF1">
        <w:rPr>
          <w:b/>
          <w:color w:val="0000CC"/>
          <w:sz w:val="24"/>
        </w:rPr>
        <w:lastRenderedPageBreak/>
        <w:t>Laboratorio de Toxicología y ambiental</w:t>
      </w:r>
    </w:p>
    <w:p w:rsidR="00A50DF1" w:rsidRDefault="00A50DF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6"/>
        <w:gridCol w:w="2321"/>
        <w:gridCol w:w="2105"/>
        <w:gridCol w:w="2292"/>
        <w:gridCol w:w="2100"/>
        <w:gridCol w:w="2092"/>
      </w:tblGrid>
      <w:tr w:rsidR="00A50DF1" w:rsidRPr="005B0F8F" w:rsidTr="00694D0A">
        <w:trPr>
          <w:jc w:val="center"/>
        </w:trPr>
        <w:tc>
          <w:tcPr>
            <w:tcW w:w="802" w:type="pct"/>
            <w:shd w:val="clear" w:color="auto" w:fill="C0C0C0"/>
            <w:vAlign w:val="center"/>
          </w:tcPr>
          <w:p w:rsidR="00A50DF1" w:rsidRPr="00A50DF1" w:rsidRDefault="00A50DF1" w:rsidP="00694D0A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</w:rPr>
            </w:pPr>
            <w:r w:rsidRPr="00A50DF1">
              <w:rPr>
                <w:rFonts w:ascii="Gill Sans MT" w:hAnsi="Gill Sans MT"/>
                <w:b/>
                <w:sz w:val="20"/>
              </w:rPr>
              <w:t>Saberes heurísticos</w:t>
            </w:r>
          </w:p>
          <w:p w:rsidR="00A50DF1" w:rsidRPr="00A50DF1" w:rsidRDefault="00A50DF1" w:rsidP="00694D0A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</w:rPr>
            </w:pPr>
            <w:r w:rsidRPr="00A50DF1">
              <w:rPr>
                <w:rFonts w:ascii="Gill Sans MT" w:hAnsi="Gill Sans MT"/>
                <w:b/>
                <w:sz w:val="20"/>
              </w:rPr>
              <w:t>(2)</w:t>
            </w:r>
          </w:p>
        </w:tc>
        <w:tc>
          <w:tcPr>
            <w:tcW w:w="893" w:type="pct"/>
            <w:shd w:val="clear" w:color="auto" w:fill="C0C0C0"/>
            <w:vAlign w:val="center"/>
          </w:tcPr>
          <w:p w:rsidR="00A50DF1" w:rsidRPr="00A50DF1" w:rsidRDefault="00A50DF1" w:rsidP="00694D0A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</w:rPr>
            </w:pPr>
            <w:r w:rsidRPr="00A50DF1">
              <w:rPr>
                <w:rFonts w:ascii="Gill Sans MT" w:hAnsi="Gill Sans MT"/>
                <w:b/>
                <w:sz w:val="20"/>
              </w:rPr>
              <w:t>Saberes teóricos</w:t>
            </w:r>
          </w:p>
          <w:p w:rsidR="00A50DF1" w:rsidRPr="00A50DF1" w:rsidRDefault="00A50DF1" w:rsidP="00694D0A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</w:rPr>
            </w:pPr>
            <w:r w:rsidRPr="00A50DF1">
              <w:rPr>
                <w:rFonts w:ascii="Gill Sans MT" w:hAnsi="Gill Sans MT"/>
                <w:b/>
                <w:sz w:val="20"/>
              </w:rPr>
              <w:t>(1)</w:t>
            </w:r>
          </w:p>
        </w:tc>
        <w:tc>
          <w:tcPr>
            <w:tcW w:w="810" w:type="pct"/>
            <w:shd w:val="clear" w:color="auto" w:fill="C0C0C0"/>
            <w:vAlign w:val="center"/>
          </w:tcPr>
          <w:p w:rsidR="00A50DF1" w:rsidRPr="00A50DF1" w:rsidRDefault="00A50DF1" w:rsidP="00694D0A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</w:rPr>
            </w:pPr>
            <w:r w:rsidRPr="00A50DF1">
              <w:rPr>
                <w:rFonts w:ascii="Gill Sans MT" w:hAnsi="Gill Sans MT"/>
                <w:b/>
                <w:sz w:val="20"/>
              </w:rPr>
              <w:t>Saberes axiológicos</w:t>
            </w:r>
          </w:p>
          <w:p w:rsidR="00A50DF1" w:rsidRPr="00A50DF1" w:rsidRDefault="00A50DF1" w:rsidP="00694D0A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</w:rPr>
            </w:pPr>
            <w:r w:rsidRPr="00A50DF1">
              <w:rPr>
                <w:rFonts w:ascii="Gill Sans MT" w:hAnsi="Gill Sans MT"/>
                <w:b/>
                <w:sz w:val="20"/>
              </w:rPr>
              <w:t>(3)</w:t>
            </w:r>
          </w:p>
        </w:tc>
        <w:tc>
          <w:tcPr>
            <w:tcW w:w="882" w:type="pct"/>
            <w:shd w:val="clear" w:color="auto" w:fill="C0C0C0"/>
            <w:vAlign w:val="center"/>
          </w:tcPr>
          <w:p w:rsidR="00A50DF1" w:rsidRPr="00A50DF1" w:rsidRDefault="00A50DF1" w:rsidP="00694D0A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</w:rPr>
            </w:pPr>
            <w:r w:rsidRPr="00A50DF1">
              <w:rPr>
                <w:rFonts w:ascii="Gill Sans MT" w:hAnsi="Gill Sans MT"/>
                <w:b/>
                <w:sz w:val="20"/>
              </w:rPr>
              <w:t xml:space="preserve">Tipo de agrupación </w:t>
            </w:r>
          </w:p>
          <w:p w:rsidR="00A50DF1" w:rsidRPr="00A50DF1" w:rsidRDefault="00A50DF1" w:rsidP="00A50DF1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="Gill Sans MT" w:hAnsi="Gill Sans MT"/>
                <w:sz w:val="20"/>
              </w:rPr>
            </w:pPr>
            <w:r w:rsidRPr="00A50DF1">
              <w:rPr>
                <w:rFonts w:ascii="Gill Sans MT" w:hAnsi="Gill Sans MT"/>
                <w:sz w:val="20"/>
              </w:rPr>
              <w:t xml:space="preserve">Básica de Iniciación a la disciplina </w:t>
            </w:r>
          </w:p>
          <w:p w:rsidR="00A50DF1" w:rsidRPr="00A50DF1" w:rsidRDefault="00A50DF1" w:rsidP="00A50DF1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="Gill Sans MT" w:hAnsi="Gill Sans MT"/>
                <w:sz w:val="20"/>
              </w:rPr>
            </w:pPr>
            <w:r w:rsidRPr="00A50DF1">
              <w:rPr>
                <w:rFonts w:ascii="Gill Sans MT" w:hAnsi="Gill Sans MT"/>
                <w:sz w:val="20"/>
              </w:rPr>
              <w:t xml:space="preserve">Disciplinar </w:t>
            </w:r>
          </w:p>
          <w:p w:rsidR="00A50DF1" w:rsidRPr="00A50DF1" w:rsidRDefault="00A50DF1" w:rsidP="00A50DF1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="Gill Sans MT" w:hAnsi="Gill Sans MT"/>
                <w:b/>
                <w:sz w:val="20"/>
              </w:rPr>
            </w:pPr>
            <w:r w:rsidRPr="00A50DF1">
              <w:rPr>
                <w:rFonts w:ascii="Gill Sans MT" w:hAnsi="Gill Sans MT"/>
                <w:sz w:val="20"/>
              </w:rPr>
              <w:t>Terminal</w:t>
            </w:r>
          </w:p>
        </w:tc>
        <w:tc>
          <w:tcPr>
            <w:tcW w:w="808" w:type="pct"/>
            <w:shd w:val="clear" w:color="auto" w:fill="C0C0C0"/>
            <w:vAlign w:val="center"/>
          </w:tcPr>
          <w:p w:rsidR="00A50DF1" w:rsidRPr="00A50DF1" w:rsidRDefault="00A50DF1" w:rsidP="00694D0A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</w:rPr>
            </w:pPr>
            <w:r w:rsidRPr="00A50DF1">
              <w:rPr>
                <w:rFonts w:ascii="Gill Sans MT" w:hAnsi="Gill Sans MT"/>
                <w:b/>
                <w:sz w:val="20"/>
              </w:rPr>
              <w:t>Nombre de la EE</w:t>
            </w:r>
          </w:p>
        </w:tc>
        <w:tc>
          <w:tcPr>
            <w:tcW w:w="805" w:type="pct"/>
            <w:shd w:val="clear" w:color="auto" w:fill="C0C0C0"/>
            <w:vAlign w:val="center"/>
          </w:tcPr>
          <w:p w:rsidR="00A50DF1" w:rsidRPr="00A50DF1" w:rsidRDefault="00A50DF1" w:rsidP="00694D0A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</w:rPr>
            </w:pPr>
            <w:r w:rsidRPr="00A50DF1">
              <w:rPr>
                <w:rFonts w:ascii="Gill Sans MT" w:hAnsi="Gill Sans MT"/>
                <w:b/>
                <w:sz w:val="20"/>
              </w:rPr>
              <w:t>Primera aproximación  a la unidad de competencia</w:t>
            </w:r>
          </w:p>
        </w:tc>
      </w:tr>
      <w:tr w:rsidR="00A50DF1" w:rsidRPr="00A50DF1" w:rsidTr="00694D0A">
        <w:trPr>
          <w:jc w:val="center"/>
        </w:trPr>
        <w:tc>
          <w:tcPr>
            <w:tcW w:w="802" w:type="pct"/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Aplicación de protocolos de certificación y acreditación.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Aplicar y supervisará medidas normativas de higiene y seguridad en el laboratorio •</w:t>
            </w:r>
            <w:r w:rsidRPr="00A50DF1">
              <w:rPr>
                <w:rFonts w:ascii="Gill Sans MT" w:eastAsiaTheme="minorEastAsia" w:hAnsi="Gill Sans MT"/>
              </w:rPr>
              <w:tab/>
              <w:t xml:space="preserve">Evaluación de manera objetiva los resultados 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•</w:t>
            </w:r>
            <w:r w:rsidRPr="00A50DF1">
              <w:rPr>
                <w:rFonts w:ascii="Gill Sans MT" w:eastAsiaTheme="minorEastAsia" w:hAnsi="Gill Sans MT"/>
              </w:rPr>
              <w:tab/>
              <w:t>Evaluación de procesos.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•</w:t>
            </w:r>
            <w:r w:rsidRPr="00A50DF1">
              <w:rPr>
                <w:rFonts w:ascii="Gill Sans MT" w:eastAsiaTheme="minorEastAsia" w:hAnsi="Gill Sans MT"/>
              </w:rPr>
              <w:tab/>
              <w:t>Generación investigación toxicológica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 xml:space="preserve">Administración de procesos </w:t>
            </w:r>
            <w:proofErr w:type="spellStart"/>
            <w:r w:rsidRPr="00A50DF1">
              <w:rPr>
                <w:rFonts w:ascii="Gill Sans MT" w:eastAsiaTheme="minorEastAsia" w:hAnsi="Gill Sans MT"/>
              </w:rPr>
              <w:t>preanalíticos</w:t>
            </w:r>
            <w:proofErr w:type="spellEnd"/>
            <w:r w:rsidRPr="00A50DF1">
              <w:rPr>
                <w:rFonts w:ascii="Gill Sans MT" w:eastAsiaTheme="minorEastAsia" w:hAnsi="Gill Sans MT"/>
              </w:rPr>
              <w:t xml:space="preserve">, analíticos y </w:t>
            </w:r>
            <w:proofErr w:type="spellStart"/>
            <w:r w:rsidRPr="00A50DF1">
              <w:rPr>
                <w:rFonts w:ascii="Gill Sans MT" w:eastAsiaTheme="minorEastAsia" w:hAnsi="Gill Sans MT"/>
              </w:rPr>
              <w:t>postanalíticos</w:t>
            </w:r>
            <w:proofErr w:type="spellEnd"/>
            <w:r w:rsidRPr="00A50DF1">
              <w:rPr>
                <w:rFonts w:ascii="Gill Sans MT" w:eastAsiaTheme="minorEastAsia" w:hAnsi="Gill Sans MT"/>
              </w:rPr>
              <w:t xml:space="preserve"> de </w:t>
            </w:r>
            <w:r w:rsidRPr="00A50DF1">
              <w:rPr>
                <w:rFonts w:ascii="Gill Sans MT" w:eastAsiaTheme="minorEastAsia" w:hAnsi="Gill Sans MT"/>
              </w:rPr>
              <w:lastRenderedPageBreak/>
              <w:t>sustancias.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Aplicación de control de calidad en resultados.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Aplicación de normas en los procesos de residuos químicos y biológicos en el laboratorio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Aplicación metodológica en el control de equipos, reactivos y manuales de procedimiento.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Manejar correctamente materiales químico- biológicos de uso en el laboratorio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Aplicación formatos de buenas prácticas de laboratorio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Aplicación de protocolos de normativas de calidad en procesos analíticos.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 xml:space="preserve">Promoción de </w:t>
            </w:r>
            <w:r w:rsidRPr="00A50DF1">
              <w:rPr>
                <w:rFonts w:ascii="Gill Sans MT" w:eastAsiaTheme="minorEastAsia" w:hAnsi="Gill Sans MT"/>
              </w:rPr>
              <w:lastRenderedPageBreak/>
              <w:t>medidas preventivas y de seguridad en el laboratorio.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Manejo de protocolos para toma de muestras con calidad.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Manejo correctamente materiales químico-biológicos de uso en el laboratorio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 xml:space="preserve">Realización de bitácoras de trabajo 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 xml:space="preserve">Proceso de informes y reportes de resultados 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 xml:space="preserve">Participación en la gestión de trámites. 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lastRenderedPageBreak/>
              <w:t xml:space="preserve">Buenas prácticas de laboratorio 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Normas para la toma de muestras.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Gestión de calidad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</w:tr>
      <w:tr w:rsidR="00A50DF1" w:rsidRPr="00A50DF1" w:rsidTr="00694D0A">
        <w:trPr>
          <w:jc w:val="center"/>
        </w:trPr>
        <w:tc>
          <w:tcPr>
            <w:tcW w:w="802" w:type="pct"/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Estadística aplicable a datos cualitativos y cuantitativos de análisis toxicológico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Estadística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</w:tr>
      <w:tr w:rsidR="00A50DF1" w:rsidRPr="00A50DF1" w:rsidTr="00694D0A">
        <w:trPr>
          <w:jc w:val="center"/>
        </w:trPr>
        <w:tc>
          <w:tcPr>
            <w:tcW w:w="802" w:type="pct"/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•</w:t>
            </w:r>
            <w:r w:rsidRPr="00A50DF1">
              <w:rPr>
                <w:rFonts w:ascii="Gill Sans MT" w:eastAsiaTheme="minorEastAsia" w:hAnsi="Gill Sans MT"/>
              </w:rPr>
              <w:tab/>
              <w:t>Manejar de personal que intervienen en salud poblacional.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 xml:space="preserve">Administración 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</w:tr>
      <w:tr w:rsidR="00A50DF1" w:rsidRPr="00A50DF1" w:rsidTr="00694D0A">
        <w:trPr>
          <w:trHeight w:val="16593"/>
          <w:jc w:val="center"/>
        </w:trPr>
        <w:tc>
          <w:tcPr>
            <w:tcW w:w="802" w:type="pct"/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lastRenderedPageBreak/>
              <w:t xml:space="preserve">Aplicar estrategias de difusión de tóxicos que afectan la salud poblacional 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 xml:space="preserve">Aplicar conocimientos para mantener en buen uso </w:t>
            </w:r>
            <w:proofErr w:type="gramStart"/>
            <w:r w:rsidRPr="00A50DF1">
              <w:rPr>
                <w:rFonts w:ascii="Gill Sans MT" w:eastAsiaTheme="minorEastAsia" w:hAnsi="Gill Sans MT"/>
              </w:rPr>
              <w:t>de  los</w:t>
            </w:r>
            <w:proofErr w:type="gramEnd"/>
            <w:r w:rsidRPr="00A50DF1">
              <w:rPr>
                <w:rFonts w:ascii="Gill Sans MT" w:eastAsiaTheme="minorEastAsia" w:hAnsi="Gill Sans MT"/>
              </w:rPr>
              <w:t xml:space="preserve"> equipos de uso toxicológico.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 xml:space="preserve"> Aplicar normas de calidad para la toma de muestras tóxicas.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Manejar información relacionada con estrategias de prevención en salud de sus de sustancia tóxicas.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 xml:space="preserve">Asociar procesos toxicológicos 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Comunicar en español, inglés y otras lenguas de información relacionada a tóxicos que afectan la salud y al medio ambiente.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lastRenderedPageBreak/>
              <w:t xml:space="preserve">Comprender información en español, inglés y otras lenguas de textos científicos relacionados a tóxicos 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Comprender normas para el desecho de residuos biológicos y de sustancias químicas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Crear de proyectos de intervención con impacto de riesgos sanitarios toxicológicos.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 xml:space="preserve">Comprender de información en español, inglés y otras lenguas de textos científicos relacionados a tóxicos 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 xml:space="preserve">Educar a diferentes sectores sociales en la prevención de riesgos por el uso de sustancia tóxica, ambiental y de </w:t>
            </w:r>
            <w:r w:rsidRPr="00A50DF1">
              <w:rPr>
                <w:rFonts w:ascii="Gill Sans MT" w:eastAsiaTheme="minorEastAsia" w:hAnsi="Gill Sans MT"/>
              </w:rPr>
              <w:lastRenderedPageBreak/>
              <w:t>medicamentos.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Elaborar un dictamen toxicológico correctamente.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Generar investigación toxicológica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 xml:space="preserve"> 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Gestionar procesos en la difusión de textos científicos toxicológicos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 xml:space="preserve">Analizar de riesgo toxicológico 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 xml:space="preserve">Identificar causas de morbimortalidad por tóxicos. 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Manejar de equipos manuales y automatizados en la identificación de tóxicos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 xml:space="preserve">Participar en </w:t>
            </w:r>
            <w:r w:rsidRPr="00A50DF1">
              <w:rPr>
                <w:rFonts w:ascii="Gill Sans MT" w:eastAsiaTheme="minorEastAsia" w:hAnsi="Gill Sans MT"/>
              </w:rPr>
              <w:lastRenderedPageBreak/>
              <w:t>procesos colaborativos para investigación toxicológica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Aplicar protocolos de prevención de intoxicaciones a diferentes poblaciones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 xml:space="preserve">Promover la sustentabilidad toxicológicas 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Promover la prevención de intoxicaciones humanas y ambientales.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 xml:space="preserve">Comprensión de información en español, inglés y otras lenguas de textos científicos relacionados a tóxicos 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lastRenderedPageBreak/>
              <w:t>Evaluación de riesgos toxicológicos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 xml:space="preserve">Herramientas tecnológicas para apoyar la investigación en toxicología. 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 xml:space="preserve">Procesos toxicológicos. 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 xml:space="preserve">Técnicas analíticas en toxicología. 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Normas para el monitoreo de medicamentos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proofErr w:type="spellStart"/>
            <w:r w:rsidRPr="00A50DF1">
              <w:rPr>
                <w:rFonts w:ascii="Gill Sans MT" w:eastAsiaTheme="minorEastAsia" w:hAnsi="Gill Sans MT"/>
              </w:rPr>
              <w:t>Toxicocinética</w:t>
            </w:r>
            <w:proofErr w:type="spellEnd"/>
            <w:r w:rsidRPr="00A50DF1">
              <w:rPr>
                <w:rFonts w:ascii="Gill Sans MT" w:eastAsiaTheme="minorEastAsia" w:hAnsi="Gill Sans MT"/>
              </w:rPr>
              <w:t xml:space="preserve"> y </w:t>
            </w:r>
            <w:proofErr w:type="spellStart"/>
            <w:r w:rsidRPr="00A50DF1">
              <w:rPr>
                <w:rFonts w:ascii="Gill Sans MT" w:eastAsiaTheme="minorEastAsia" w:hAnsi="Gill Sans MT"/>
              </w:rPr>
              <w:t>toxicodinamia</w:t>
            </w:r>
            <w:proofErr w:type="spellEnd"/>
            <w:r w:rsidRPr="00A50DF1">
              <w:rPr>
                <w:rFonts w:ascii="Gill Sans MT" w:eastAsiaTheme="minorEastAsia" w:hAnsi="Gill Sans MT"/>
              </w:rPr>
              <w:t xml:space="preserve"> de: Fármacos con estrecho margen de seguridad y sustancias de uso y abuso que afecten a Sistema hematopoyético, hepático, renal, SNC, endocrino e inmunológico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 xml:space="preserve">Definición y clasificación de sustancia </w:t>
            </w:r>
            <w:proofErr w:type="spellStart"/>
            <w:r w:rsidRPr="00A50DF1">
              <w:rPr>
                <w:rFonts w:ascii="Gill Sans MT" w:eastAsiaTheme="minorEastAsia" w:hAnsi="Gill Sans MT"/>
              </w:rPr>
              <w:t>mutagénicos</w:t>
            </w:r>
            <w:proofErr w:type="spellEnd"/>
            <w:r w:rsidRPr="00A50DF1">
              <w:rPr>
                <w:rFonts w:ascii="Gill Sans MT" w:eastAsiaTheme="minorEastAsia" w:hAnsi="Gill Sans MT"/>
              </w:rPr>
              <w:t xml:space="preserve">, carcinogénicas y </w:t>
            </w:r>
            <w:proofErr w:type="spellStart"/>
            <w:r w:rsidRPr="00A50DF1">
              <w:rPr>
                <w:rFonts w:ascii="Gill Sans MT" w:eastAsiaTheme="minorEastAsia" w:hAnsi="Gill Sans MT"/>
              </w:rPr>
              <w:t>teratogénicas</w:t>
            </w:r>
            <w:proofErr w:type="spellEnd"/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 xml:space="preserve"> 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Responsabilidad con el cuidado del medio ambiente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Conciencia de los riesgos toxicológicos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Respeto a la vida.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proofErr w:type="gramStart"/>
            <w:r w:rsidRPr="00A50DF1">
              <w:rPr>
                <w:rFonts w:ascii="Gill Sans MT" w:eastAsiaTheme="minorEastAsia" w:hAnsi="Gill Sans MT"/>
              </w:rPr>
              <w:t>Responsabilidad  en</w:t>
            </w:r>
            <w:proofErr w:type="gramEnd"/>
            <w:r w:rsidRPr="00A50DF1">
              <w:rPr>
                <w:rFonts w:ascii="Gill Sans MT" w:eastAsiaTheme="minorEastAsia" w:hAnsi="Gill Sans MT"/>
              </w:rPr>
              <w:t xml:space="preserve"> el cumplimiento de las normas.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Compromiso social en la investigación de tóxicos.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Honestidad en la emisión de resultados de análisis toxicológico.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Responsabilidad en la aplicación de métodos toxicológicos analíticos.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Toxicología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</w:tr>
      <w:tr w:rsidR="00A50DF1" w:rsidRPr="00A50DF1" w:rsidTr="00694D0A">
        <w:trPr>
          <w:jc w:val="center"/>
        </w:trPr>
        <w:tc>
          <w:tcPr>
            <w:tcW w:w="80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lastRenderedPageBreak/>
              <w:t>Normas actualizadas en el manejo de residuos.</w:t>
            </w:r>
          </w:p>
        </w:tc>
        <w:tc>
          <w:tcPr>
            <w:tcW w:w="89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  <w:tc>
          <w:tcPr>
            <w:tcW w:w="81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  <w:tc>
          <w:tcPr>
            <w:tcW w:w="88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  <w:tc>
          <w:tcPr>
            <w:tcW w:w="8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  <w:tc>
          <w:tcPr>
            <w:tcW w:w="8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</w:tr>
      <w:tr w:rsidR="00A50DF1" w:rsidRPr="00A50DF1" w:rsidTr="00694D0A">
        <w:trPr>
          <w:jc w:val="center"/>
        </w:trPr>
        <w:tc>
          <w:tcPr>
            <w:tcW w:w="80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Monitoreo de sustancias.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Aplicar el marco normativo en la  sustentabilidad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Aplicar protocolos de prevención de intoxicaciones a diferentes poblaciones.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Administrar Protocolos de prevención de contaminantes ambientales.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Clasificar riesgos biológicos ambientales según la OMS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Información de trámite.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SEMARNAT-07-033-H,</w:t>
            </w:r>
          </w:p>
        </w:tc>
        <w:tc>
          <w:tcPr>
            <w:tcW w:w="89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Monitoreo de sustancias químicas contaminantes del medio ambiente: NORMA Oficial Mexicana NOM-001-SEMARNAT.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Criterios para determinar las concentraciones de remediación de suelos contaminados sustancias: NOM-147-SEMARNAT/SSA1-2004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Lineamientos para la obtención y comunicación del Índice de Calidad del Aire y Riesgos a la Salud: Norma Oficial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Mexicana NOM-172-SEMARNAT-2019.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 xml:space="preserve">Criterios para evaluar </w:t>
            </w:r>
            <w:r w:rsidRPr="00A50DF1">
              <w:rPr>
                <w:rFonts w:ascii="Gill Sans MT" w:eastAsiaTheme="minorEastAsia" w:hAnsi="Gill Sans MT"/>
              </w:rPr>
              <w:lastRenderedPageBreak/>
              <w:t>la calidad del aire del ambiente, con respecto al ozono (O3): NOM-020-SSA1-2021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Límites máximos permisibles de contaminantes para las aguas residuales tratadas: Mexicana NOM-003-ECOL-1997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Otras normas relacionadas.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Monitoreo ambiental.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 xml:space="preserve">Marco normativo en </w:t>
            </w:r>
            <w:proofErr w:type="gramStart"/>
            <w:r w:rsidRPr="00A50DF1">
              <w:rPr>
                <w:rFonts w:ascii="Gill Sans MT" w:eastAsiaTheme="minorEastAsia" w:hAnsi="Gill Sans MT"/>
              </w:rPr>
              <w:t>la  sustentabilidad</w:t>
            </w:r>
            <w:proofErr w:type="gramEnd"/>
            <w:r w:rsidRPr="00A50DF1">
              <w:rPr>
                <w:rFonts w:ascii="Gill Sans MT" w:eastAsiaTheme="minorEastAsia" w:hAnsi="Gill Sans MT"/>
              </w:rPr>
              <w:t>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Ley general del equilibrio ecológico y la protección al ambiente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Desarrollo de Protocolos de prevención de contaminantes por zona ambiental.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Riesgos biológicos ambientales según la OMS.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  <w:tc>
          <w:tcPr>
            <w:tcW w:w="81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lastRenderedPageBreak/>
              <w:t>Compromiso y concientización ambiental.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Respeto a la vida.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Ética en el cumplimiento de las normas.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Ética en la administración de procesos.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Iniciativa.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Respeto a la flora y fauna.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  <w:tc>
          <w:tcPr>
            <w:tcW w:w="88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  <w:tc>
          <w:tcPr>
            <w:tcW w:w="80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Toxicología ambiental</w:t>
            </w:r>
          </w:p>
        </w:tc>
        <w:tc>
          <w:tcPr>
            <w:tcW w:w="80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</w:tr>
      <w:tr w:rsidR="00A50DF1" w:rsidRPr="00A50DF1" w:rsidTr="00694D0A">
        <w:trPr>
          <w:jc w:val="center"/>
        </w:trPr>
        <w:tc>
          <w:tcPr>
            <w:tcW w:w="80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lastRenderedPageBreak/>
              <w:t>Aplicación de marco jurídico en sustancias tóxicas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Establecimiento de índices biológicos en personal ocupacionalmente expuestos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Establecer los procesos y medidas para prevenir riesgos a la salud del personal ocupacionalmente expuesto a agentes químicos contaminantes del ambiente laboral.</w:t>
            </w:r>
          </w:p>
        </w:tc>
        <w:tc>
          <w:tcPr>
            <w:tcW w:w="89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índices Biológicos de Exposición para el personal ocupacionalmente expuesto a sustancias químicas: Norma Oficial Mexicana NOM-047-SSA1-2011.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Procesos y medidas de prevención de riesgos a la salud: NORMA Oficial Mexicana NOM-010-STPS-2014.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 xml:space="preserve">Método normalizado para la evaluación de riesgos a la salud como consecuencia de agentes ambientales. NORMA OFICIAL MEXICANA </w:t>
            </w:r>
            <w:r w:rsidRPr="00A50DF1">
              <w:rPr>
                <w:rFonts w:ascii="Gill Sans MT" w:eastAsiaTheme="minorEastAsia" w:hAnsi="Gill Sans MT"/>
                <w:i/>
                <w:iCs/>
              </w:rPr>
              <w:t>NOM</w:t>
            </w:r>
            <w:r w:rsidRPr="00A50DF1">
              <w:rPr>
                <w:rFonts w:ascii="Gill Sans MT" w:eastAsiaTheme="minorEastAsia" w:hAnsi="Gill Sans MT"/>
              </w:rPr>
              <w:t>-</w:t>
            </w:r>
            <w:r w:rsidRPr="00A50DF1">
              <w:rPr>
                <w:rFonts w:ascii="Gill Sans MT" w:eastAsiaTheme="minorEastAsia" w:hAnsi="Gill Sans MT"/>
                <w:i/>
                <w:iCs/>
              </w:rPr>
              <w:t>048</w:t>
            </w:r>
            <w:r w:rsidRPr="00A50DF1">
              <w:rPr>
                <w:rFonts w:ascii="Gill Sans MT" w:eastAsiaTheme="minorEastAsia" w:hAnsi="Gill Sans MT"/>
              </w:rPr>
              <w:t>-</w:t>
            </w:r>
            <w:r w:rsidRPr="00A50DF1">
              <w:rPr>
                <w:rFonts w:ascii="Gill Sans MT" w:eastAsiaTheme="minorEastAsia" w:hAnsi="Gill Sans MT"/>
                <w:i/>
                <w:iCs/>
              </w:rPr>
              <w:t>SSA1</w:t>
            </w:r>
            <w:r w:rsidRPr="00A50DF1">
              <w:rPr>
                <w:rFonts w:ascii="Gill Sans MT" w:eastAsiaTheme="minorEastAsia" w:hAnsi="Gill Sans MT"/>
              </w:rPr>
              <w:t>-</w:t>
            </w:r>
            <w:r w:rsidRPr="00A50DF1">
              <w:rPr>
                <w:rFonts w:ascii="Gill Sans MT" w:eastAsiaTheme="minorEastAsia" w:hAnsi="Gill Sans MT"/>
                <w:i/>
                <w:iCs/>
              </w:rPr>
              <w:t>1993.</w:t>
            </w:r>
          </w:p>
        </w:tc>
        <w:tc>
          <w:tcPr>
            <w:tcW w:w="81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 xml:space="preserve">Responsabilidad para establecer índices biológicos 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Honestidad en la elaboración de resultados.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Responsabilidad en el cumplimiento de las normas.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  <w:tc>
          <w:tcPr>
            <w:tcW w:w="88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  <w:tc>
          <w:tcPr>
            <w:tcW w:w="80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Toxicología reglamentaria</w:t>
            </w:r>
          </w:p>
        </w:tc>
        <w:tc>
          <w:tcPr>
            <w:tcW w:w="80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</w:tr>
      <w:tr w:rsidR="00A50DF1" w:rsidRPr="00A50DF1" w:rsidTr="00694D0A">
        <w:trPr>
          <w:jc w:val="center"/>
        </w:trPr>
        <w:tc>
          <w:tcPr>
            <w:tcW w:w="802" w:type="pct"/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Salud pública, laboral y epidemiología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Salud publica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</w:tr>
      <w:tr w:rsidR="00A50DF1" w:rsidRPr="00A50DF1" w:rsidTr="00694D0A">
        <w:trPr>
          <w:cantSplit/>
          <w:jc w:val="center"/>
        </w:trPr>
        <w:tc>
          <w:tcPr>
            <w:tcW w:w="802" w:type="pct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lastRenderedPageBreak/>
              <w:t>Aplicación de conocimientos tecnológicos con fines de difusión y divulgación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Aplicar técnicas computacionales</w:t>
            </w:r>
          </w:p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  <w:tc>
          <w:tcPr>
            <w:tcW w:w="893" w:type="pct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 xml:space="preserve">Técnicas de comunicación. </w:t>
            </w:r>
          </w:p>
        </w:tc>
        <w:tc>
          <w:tcPr>
            <w:tcW w:w="810" w:type="pct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  <w:tc>
          <w:tcPr>
            <w:tcW w:w="882" w:type="pct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  <w:tc>
          <w:tcPr>
            <w:tcW w:w="808" w:type="pct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 xml:space="preserve">Comunicación </w:t>
            </w:r>
          </w:p>
        </w:tc>
        <w:tc>
          <w:tcPr>
            <w:tcW w:w="805" w:type="pct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</w:tr>
      <w:tr w:rsidR="00A50DF1" w:rsidRPr="00A50DF1" w:rsidTr="00694D0A">
        <w:trPr>
          <w:cantSplit/>
          <w:jc w:val="center"/>
        </w:trPr>
        <w:tc>
          <w:tcPr>
            <w:tcW w:w="802" w:type="pct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Elaboración de reportes científicos</w:t>
            </w:r>
          </w:p>
        </w:tc>
        <w:tc>
          <w:tcPr>
            <w:tcW w:w="893" w:type="pct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  <w:tc>
          <w:tcPr>
            <w:tcW w:w="810" w:type="pct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  <w:tc>
          <w:tcPr>
            <w:tcW w:w="882" w:type="pct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  <w:tc>
          <w:tcPr>
            <w:tcW w:w="808" w:type="pct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Investigación</w:t>
            </w:r>
          </w:p>
        </w:tc>
        <w:tc>
          <w:tcPr>
            <w:tcW w:w="805" w:type="pct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</w:tr>
      <w:tr w:rsidR="00A50DF1" w:rsidRPr="00A50DF1" w:rsidTr="00694D0A">
        <w:trPr>
          <w:cantSplit/>
          <w:jc w:val="center"/>
        </w:trPr>
        <w:tc>
          <w:tcPr>
            <w:tcW w:w="802" w:type="pct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  <w:tc>
          <w:tcPr>
            <w:tcW w:w="893" w:type="pct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  <w:tc>
          <w:tcPr>
            <w:tcW w:w="810" w:type="pct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  <w:tc>
          <w:tcPr>
            <w:tcW w:w="882" w:type="pct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  <w:tc>
          <w:tcPr>
            <w:tcW w:w="808" w:type="pct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Vinculación</w:t>
            </w:r>
          </w:p>
        </w:tc>
        <w:tc>
          <w:tcPr>
            <w:tcW w:w="805" w:type="pct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</w:tr>
      <w:tr w:rsidR="00A50DF1" w:rsidRPr="00A50DF1" w:rsidTr="00694D0A">
        <w:trPr>
          <w:cantSplit/>
          <w:jc w:val="center"/>
        </w:trPr>
        <w:tc>
          <w:tcPr>
            <w:tcW w:w="802" w:type="pct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>Participación en proyectos educativos en el área de ciencias de la salud</w:t>
            </w:r>
          </w:p>
        </w:tc>
        <w:tc>
          <w:tcPr>
            <w:tcW w:w="893" w:type="pct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  <w:tc>
          <w:tcPr>
            <w:tcW w:w="810" w:type="pct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  <w:tc>
          <w:tcPr>
            <w:tcW w:w="882" w:type="pct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  <w:tc>
          <w:tcPr>
            <w:tcW w:w="808" w:type="pct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  <w:r w:rsidRPr="00A50DF1">
              <w:rPr>
                <w:rFonts w:ascii="Gill Sans MT" w:eastAsiaTheme="minorEastAsia" w:hAnsi="Gill Sans MT"/>
              </w:rPr>
              <w:t xml:space="preserve">Educación </w:t>
            </w:r>
          </w:p>
        </w:tc>
        <w:tc>
          <w:tcPr>
            <w:tcW w:w="805" w:type="pct"/>
          </w:tcPr>
          <w:p w:rsidR="00A50DF1" w:rsidRPr="00A50DF1" w:rsidRDefault="00A50DF1" w:rsidP="00A50DF1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176" w:hanging="176"/>
              <w:contextualSpacing w:val="0"/>
              <w:rPr>
                <w:rFonts w:ascii="Gill Sans MT" w:eastAsiaTheme="minorEastAsia" w:hAnsi="Gill Sans MT"/>
              </w:rPr>
            </w:pPr>
          </w:p>
        </w:tc>
      </w:tr>
    </w:tbl>
    <w:p w:rsidR="00A50DF1" w:rsidRPr="00A50DF1" w:rsidRDefault="00A50DF1" w:rsidP="00A50DF1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56" w:lineRule="auto"/>
        <w:ind w:left="176" w:hanging="176"/>
        <w:contextualSpacing w:val="0"/>
        <w:rPr>
          <w:rFonts w:ascii="Gill Sans MT" w:eastAsiaTheme="minorEastAsia" w:hAnsi="Gill Sans MT"/>
        </w:rPr>
      </w:pPr>
    </w:p>
    <w:sectPr w:rsidR="00A50DF1" w:rsidRPr="00A50DF1" w:rsidSect="000D581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D9F"/>
    <w:multiLevelType w:val="hybridMultilevel"/>
    <w:tmpl w:val="39302F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B70DB"/>
    <w:multiLevelType w:val="hybridMultilevel"/>
    <w:tmpl w:val="895E564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782ADB"/>
    <w:multiLevelType w:val="hybridMultilevel"/>
    <w:tmpl w:val="BAC252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B0991"/>
    <w:multiLevelType w:val="hybridMultilevel"/>
    <w:tmpl w:val="E88E0D4E"/>
    <w:lvl w:ilvl="0" w:tplc="E79035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5C30B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2C89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1525F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2E559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9FE6F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D84C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EE5F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EEE855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D4"/>
    <w:rsid w:val="000D5817"/>
    <w:rsid w:val="0035417D"/>
    <w:rsid w:val="006569D4"/>
    <w:rsid w:val="006E7F73"/>
    <w:rsid w:val="009D096D"/>
    <w:rsid w:val="00A5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6436ED"/>
  <w15:chartTrackingRefBased/>
  <w15:docId w15:val="{CEED2731-24AD-4D64-BCFC-82A0E56E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D4"/>
  </w:style>
  <w:style w:type="paragraph" w:styleId="Ttulo1">
    <w:name w:val="heading 1"/>
    <w:basedOn w:val="Normal"/>
    <w:link w:val="Ttulo1Car"/>
    <w:uiPriority w:val="9"/>
    <w:qFormat/>
    <w:rsid w:val="00A50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569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6569D4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1"/>
    <w:qFormat/>
    <w:rsid w:val="006569D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569D4"/>
    <w:pPr>
      <w:widowControl w:val="0"/>
      <w:autoSpaceDE w:val="0"/>
      <w:autoSpaceDN w:val="0"/>
      <w:spacing w:after="0" w:line="240" w:lineRule="auto"/>
      <w:ind w:left="71"/>
    </w:pPr>
    <w:rPr>
      <w:rFonts w:ascii="Arial MT" w:eastAsia="Arial MT" w:hAnsi="Arial MT" w:cs="Arial MT"/>
      <w:lang w:val="es-ES"/>
    </w:rPr>
  </w:style>
  <w:style w:type="paragraph" w:customStyle="1" w:styleId="Default">
    <w:name w:val="Default"/>
    <w:rsid w:val="00656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A50DF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nfasis">
    <w:name w:val="Emphasis"/>
    <w:basedOn w:val="Fuentedeprrafopredeter"/>
    <w:uiPriority w:val="20"/>
    <w:qFormat/>
    <w:rsid w:val="00A50DF1"/>
    <w:rPr>
      <w:i/>
      <w:iCs/>
    </w:rPr>
  </w:style>
  <w:style w:type="paragraph" w:customStyle="1" w:styleId="Cuerpo">
    <w:name w:val="Cuerpo"/>
    <w:rsid w:val="0035417D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es-ES_tradnl" w:eastAsia="es-MX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1416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Estevez Berinstain Joksana</dc:creator>
  <cp:keywords/>
  <dc:description/>
  <cp:lastModifiedBy>Sergio A. Glez.Ortiz</cp:lastModifiedBy>
  <cp:revision>2</cp:revision>
  <dcterms:created xsi:type="dcterms:W3CDTF">2023-02-23T17:04:00Z</dcterms:created>
  <dcterms:modified xsi:type="dcterms:W3CDTF">2023-04-13T00:37:00Z</dcterms:modified>
</cp:coreProperties>
</file>